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</w:t>
      </w:r>
      <w:r>
        <w:rPr>
          <w:color w:val="000000"/>
          <w:sz w:val="24"/>
          <w:szCs w:val="24"/>
        </w:rPr>
        <w:t>Приложение № 1 к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>
      <w:pPr>
        <w:pStyle w:val="ConsPlusNormal"/>
        <w:widowControl/>
        <w:numPr>
          <w:ilvl w:val="0"/>
          <w:numId w:val="0"/>
        </w:numPr>
        <w:tabs>
          <w:tab w:val="clear" w:pos="708"/>
          <w:tab w:val="left" w:pos="5955" w:leader="none"/>
        </w:tabs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постановлению Администрации</w:t>
      </w:r>
    </w:p>
    <w:p>
      <w:pPr>
        <w:pStyle w:val="ConsPlusNormal"/>
        <w:widowControl/>
        <w:numPr>
          <w:ilvl w:val="0"/>
          <w:numId w:val="0"/>
        </w:numPr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Артинского муниципального округа                              </w:t>
      </w:r>
    </w:p>
    <w:p>
      <w:pPr>
        <w:pStyle w:val="ConsPlusNormal"/>
        <w:widowControl/>
        <w:numPr>
          <w:ilvl w:val="0"/>
          <w:numId w:val="0"/>
        </w:numPr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от 26.02.202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eastAsia="zh-CN" w:bidi="ar-SA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 г. № 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2"/>
        <w:rPr>
          <w:bCs/>
        </w:rPr>
      </w:pPr>
      <w:r>
        <w:rPr>
          <w:b/>
          <w:bCs/>
          <w:lang w:eastAsia="ar-SA"/>
        </w:rPr>
        <w:t>ПАСПОРТ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2"/>
        <w:rPr>
          <w:bCs/>
        </w:rPr>
      </w:pPr>
      <w:r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МУНИЦИПАЛЬНОЙ ПРОГРАММЫ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2"/>
        <w:rPr>
          <w:b/>
          <w:bCs/>
        </w:rPr>
      </w:pPr>
      <w:r>
        <w:rPr>
          <w:b/>
          <w:bCs/>
        </w:rPr>
        <w:t>«Повышение безопасности дорожного движения на улично-дорожной сети вблизи образовательных организаций, расположенных на территории Артинского</w:t>
      </w:r>
      <w:r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м</w:t>
      </w:r>
      <w:r>
        <w:rPr>
          <w:b/>
          <w:bCs/>
          <w:lang w:val="en-US"/>
        </w:rPr>
        <w:t>у</w:t>
      </w:r>
      <w:r>
        <w:rPr>
          <w:b/>
          <w:bCs/>
          <w:lang w:val="ru-RU"/>
        </w:rPr>
        <w:t xml:space="preserve">ниципального </w:t>
      </w:r>
      <w:r>
        <w:rPr>
          <w:b/>
          <w:bCs/>
        </w:rPr>
        <w:t xml:space="preserve">округа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до </w:t>
      </w:r>
      <w:r>
        <w:rPr>
          <w:b/>
          <w:bCs/>
        </w:rPr>
        <w:t>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b/>
          <w:bCs/>
        </w:rPr>
        <w:t xml:space="preserve"> год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b/>
          <w:bCs/>
        </w:rPr>
        <w:t>»</w:t>
      </w:r>
    </w:p>
    <w:p>
      <w:pPr>
        <w:pStyle w:val="Normal"/>
        <w:tabs>
          <w:tab w:val="clear" w:pos="708"/>
          <w:tab w:val="left" w:pos="5020" w:leader="none"/>
        </w:tabs>
        <w:rPr>
          <w:i/>
          <w:i/>
          <w:iCs/>
        </w:rPr>
      </w:pPr>
      <w:r>
        <w:rPr>
          <w:i/>
          <w:iCs/>
        </w:rPr>
      </w:r>
    </w:p>
    <w:tbl>
      <w:tblPr>
        <w:tblW w:w="10257" w:type="dxa"/>
        <w:jc w:val="left"/>
        <w:tblInd w:w="-402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firstRow="1" w:noVBand="0" w:lastRow="0" w:firstColumn="1" w:lastColumn="0" w:noHBand="0" w:val="00a0"/>
      </w:tblPr>
      <w:tblGrid>
        <w:gridCol w:w="3400"/>
        <w:gridCol w:w="6856"/>
      </w:tblGrid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>6. Объемы финансирования  муниципальной программы (тыс. рублей)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false"/>
              <w:ind w:hanging="0" w:left="0"/>
              <w:jc w:val="both"/>
              <w:textAlignment w:val="auto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Муниципальная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программа </w:t>
            </w:r>
            <w:r>
              <w:rPr>
                <w:b/>
                <w:bCs/>
              </w:rPr>
              <w:t xml:space="preserve">«Повышение безопасности дорожного движения на улично-дорожной сети вблизи образовательных организаций, расположенных на территории Артинского муниципального округа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до </w:t>
            </w:r>
            <w:r>
              <w:rPr>
                <w:b/>
                <w:bCs/>
              </w:rPr>
              <w:t>202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b/>
                <w:bCs/>
              </w:rPr>
              <w:t xml:space="preserve"> год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b/>
                <w:bCs/>
              </w:rPr>
              <w:t>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false"/>
              <w:ind w:hanging="0" w:left="0"/>
              <w:jc w:val="both"/>
              <w:textAlignment w:val="auto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false"/>
              <w:ind w:hanging="0" w:left="0"/>
              <w:jc w:val="both"/>
              <w:textAlignment w:val="auto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</w:rPr>
              <w:t>В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сего по программе </w:t>
            </w:r>
            <w:r>
              <w:rPr>
                <w:b w:val="false"/>
                <w:bCs w:val="false"/>
              </w:rPr>
              <w:t xml:space="preserve">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32 239,8 </w:t>
            </w:r>
            <w:r>
              <w:rPr>
                <w:b w:val="false"/>
                <w:bCs w:val="false"/>
                <w:color w:val="FF0000"/>
              </w:rPr>
              <w:t xml:space="preserve"> </w:t>
            </w:r>
            <w:r>
              <w:rPr>
                <w:b w:val="false"/>
                <w:bCs w:val="false"/>
              </w:rPr>
              <w:t>тыс. рублей;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 том числе (по годам реализации):</w:t>
            </w:r>
          </w:p>
          <w:p>
            <w:pPr>
              <w:pStyle w:val="Normal"/>
              <w:widowControl w:val="false"/>
              <w:overflowPunct w:val="false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2022 год –  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500,0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3 385</w:t>
            </w:r>
            <w:r>
              <w:rPr/>
              <w:t>,0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>
              <w:rPr/>
              <w:t xml:space="preserve"> год –  9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935,8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17419,0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/>
              <w:t xml:space="preserve"> год –  0,00 тыс. рублей.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из них: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федеральный бюджет – 0,0 тыс. рублей,</w:t>
            </w:r>
          </w:p>
          <w:p>
            <w:pPr>
              <w:pStyle w:val="ConsPlusCel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ConsPlusCel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2022 год -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0,00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/>
              <w:t xml:space="preserve"> год –  0,00 тыс. рублей.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областной бюджет – 0,0 тыс. рублей, в том числе: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2022 год -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0,00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/>
              <w:t xml:space="preserve"> год –  0,00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/>
              <w:t xml:space="preserve"> год –  0,00 тыс. рублей.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местный бюджет:</w:t>
            </w:r>
            <w:r>
              <w:rPr>
                <w:color w:val="FF0000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32239,8</w:t>
            </w:r>
            <w:r>
              <w:rPr>
                <w:color w:val="FF0000"/>
              </w:rPr>
              <w:t xml:space="preserve"> </w:t>
            </w:r>
            <w:r>
              <w:rPr/>
              <w:t>тыс. рублей, в том числе: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2022 год –  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500,0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3 385</w:t>
            </w:r>
            <w:r>
              <w:rPr/>
              <w:t>,0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>
              <w:rPr/>
              <w:t xml:space="preserve"> год –  9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935,8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17 419,0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/>
              <w:t xml:space="preserve"> год –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0,00</w:t>
            </w:r>
            <w:r>
              <w:rPr/>
              <w:t xml:space="preserve"> тыс. рублей;</w:t>
            </w:r>
          </w:p>
          <w:p>
            <w:pPr>
              <w:pStyle w:val="Normal"/>
              <w:widowControl w:val="false"/>
              <w:overflowPunct w:val="false"/>
              <w:textAlignment w:val="auto"/>
              <w:rPr/>
            </w:pPr>
            <w:r>
              <w:rPr/>
              <w:t>202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/>
              <w:t xml:space="preserve"> год –  0,00 тыс. рублей.</w:t>
            </w:r>
          </w:p>
        </w:tc>
      </w:tr>
    </w:tbl>
    <w:p>
      <w:pPr>
        <w:pStyle w:val="Normal"/>
        <w:ind w:firstLine="708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68c7"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e768c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e768c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harChar" w:customStyle="1">
    <w:name w:val="Char Char"/>
    <w:basedOn w:val="Normal"/>
    <w:qFormat/>
    <w:rsid w:val="00e768c7"/>
    <w:pPr>
      <w:widowControl/>
      <w:overflowPunct w:val="false"/>
      <w:spacing w:lineRule="exact" w:line="240" w:before="0" w:after="160"/>
      <w:textAlignment w:val="auto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LibreOffice/7.6.6.3$Windows_X86_64 LibreOffice_project/d97b2716a9a4a2ce1391dee1765565ea469b0ae7</Application>
  <AppVersion>15.0000</AppVersion>
  <Pages>2</Pages>
  <Words>231</Words>
  <Characters>1275</Characters>
  <CharactersWithSpaces>1908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2020-01-15T09:20:00Z</dcterms:created>
  <dc:creator>Печерских Наталья Дмитриевна</dc:creator>
  <dc:description/>
  <dc:language>ru-RU</dc:language>
  <cp:lastModifiedBy/>
  <cp:lastPrinted>2025-02-27T09:23:02Z</cp:lastPrinted>
  <dcterms:modified xsi:type="dcterms:W3CDTF">2025-02-27T09:46:48Z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