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>Приложение № 1 к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5955" w:leader="none"/>
        </w:tabs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постановлению Администрации</w:t>
      </w:r>
    </w:p>
    <w:p>
      <w:pPr>
        <w:pStyle w:val="ConsPlusNormal"/>
        <w:widowControl/>
        <w:numPr>
          <w:ilvl w:val="0"/>
          <w:numId w:val="0"/>
        </w:numPr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Артинского муниципального округа                              </w:t>
      </w:r>
    </w:p>
    <w:p>
      <w:pPr>
        <w:pStyle w:val="ConsPlusNormal"/>
        <w:widowControl/>
        <w:numPr>
          <w:ilvl w:val="0"/>
          <w:numId w:val="0"/>
        </w:numPr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от       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 xml:space="preserve"> г. №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Cs/>
        </w:rPr>
      </w:pPr>
      <w:r>
        <w:rPr>
          <w:b/>
          <w:bCs/>
          <w:lang w:eastAsia="ar-SA"/>
        </w:rPr>
        <w:t>ПАСПОРТ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Cs/>
        </w:rPr>
      </w:pPr>
      <w:r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МУНИЦИПАЛЬНОЙ ПРОГРАММЫ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2"/>
        <w:rPr>
          <w:b/>
          <w:bCs/>
        </w:rPr>
      </w:pPr>
      <w:r>
        <w:rPr>
          <w:b/>
          <w:bCs/>
        </w:rPr>
        <w:t>«Повышение безопасности дорожного движения на улично-дорожной сети вблизи образовательных организаций, расположенных на территории Артинского</w:t>
      </w:r>
      <w:r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м</w:t>
      </w:r>
      <w:r>
        <w:rPr>
          <w:b/>
          <w:bCs/>
          <w:lang w:val="en-US"/>
        </w:rPr>
        <w:t>у</w:t>
      </w:r>
      <w:r>
        <w:rPr>
          <w:b/>
          <w:bCs/>
          <w:lang w:val="ru-RU"/>
        </w:rPr>
        <w:t xml:space="preserve">ниципального </w:t>
      </w:r>
      <w:r>
        <w:rPr>
          <w:b/>
          <w:bCs/>
        </w:rPr>
        <w:t xml:space="preserve">округа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до </w:t>
      </w:r>
      <w:r>
        <w:rPr>
          <w:b/>
          <w:bCs/>
        </w:rPr>
        <w:t>202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b/>
          <w:bCs/>
        </w:rPr>
        <w:t xml:space="preserve"> год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b/>
          <w:bCs/>
        </w:rPr>
        <w:t>»</w:t>
      </w:r>
    </w:p>
    <w:p>
      <w:pPr>
        <w:pStyle w:val="Normal"/>
        <w:tabs>
          <w:tab w:val="clear" w:pos="708"/>
          <w:tab w:val="left" w:pos="5020" w:leader="none"/>
        </w:tabs>
        <w:rPr>
          <w:i/>
          <w:i/>
          <w:iCs/>
        </w:rPr>
      </w:pPr>
      <w:r>
        <w:rPr>
          <w:i/>
          <w:iCs/>
        </w:rPr>
      </w:r>
    </w:p>
    <w:tbl>
      <w:tblPr>
        <w:tblW w:w="10257" w:type="dxa"/>
        <w:jc w:val="left"/>
        <w:tblInd w:w="-402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firstRow="1" w:noVBand="0" w:lastRow="0" w:firstColumn="1" w:lastColumn="0" w:noHBand="0" w:val="00a0"/>
      </w:tblPr>
      <w:tblGrid>
        <w:gridCol w:w="3400"/>
        <w:gridCol w:w="6856"/>
      </w:tblGrid>
      <w:tr>
        <w:trPr/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6. Объемы финансирования  муниципальной программы (тыс. рублей)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false"/>
              <w:ind w:hanging="0" w:left="0"/>
              <w:jc w:val="both"/>
              <w:textAlignment w:val="auto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Муниципальная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программа </w:t>
            </w:r>
            <w:r>
              <w:rPr>
                <w:b/>
                <w:bCs/>
              </w:rPr>
              <w:t xml:space="preserve">«Повышение безопасности дорожного движения на улично-дорожной сети вблизи образовательных организаций, расположенных на территории Артинского муниципального округа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до </w:t>
            </w:r>
            <w:r>
              <w:rPr>
                <w:b/>
                <w:bCs/>
              </w:rPr>
              <w:t>202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b/>
                <w:bCs/>
              </w:rPr>
              <w:t xml:space="preserve"> год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b/>
                <w:bCs/>
              </w:rPr>
              <w:t>» В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сего по программе </w:t>
            </w:r>
            <w:r>
              <w:rPr>
                <w:b/>
                <w:bCs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32 239,8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тыс. рублей;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в том числе (по годам реализации):</w:t>
            </w:r>
          </w:p>
          <w:p>
            <w:pPr>
              <w:pStyle w:val="Normal"/>
              <w:widowControl w:val="false"/>
              <w:overflowPunct w:val="false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2022 год –  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500,0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3 385</w:t>
            </w:r>
            <w:r>
              <w:rPr/>
              <w:t>,0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/>
              <w:t xml:space="preserve"> год –  9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935,8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17419,0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/>
              <w:t xml:space="preserve"> год –  0,00 тыс. рублей.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из них: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федеральный бюджет – 0,0 тыс. рублей,</w:t>
            </w:r>
          </w:p>
          <w:p>
            <w:pPr>
              <w:pStyle w:val="ConsPlusCel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>
            <w:pPr>
              <w:pStyle w:val="ConsPlusCel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2022 год -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0,00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/>
              <w:t xml:space="preserve"> год –  0,00 тыс. рублей.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областной бюджет – 0,0 тыс. рублей, в том числе: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2022 год -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0,00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/>
              <w:t xml:space="preserve"> год –  0,00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/>
              <w:t xml:space="preserve"> год –  0,00 тыс. рублей.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местный бюджет:</w:t>
            </w:r>
            <w:r>
              <w:rPr>
                <w:color w:val="FF0000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32239,8</w:t>
            </w:r>
            <w:r>
              <w:rPr>
                <w:color w:val="FF0000"/>
              </w:rPr>
              <w:t xml:space="preserve"> </w:t>
            </w:r>
            <w:r>
              <w:rPr/>
              <w:t>тыс. рублей, в том числе: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2022 год –  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500,0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3 385</w:t>
            </w:r>
            <w:r>
              <w:rPr/>
              <w:t>,0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/>
              <w:t xml:space="preserve"> год –  9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935,8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17 419,0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/>
              <w:t xml:space="preserve"> год –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0,00</w:t>
            </w:r>
            <w:r>
              <w:rPr/>
              <w:t xml:space="preserve"> тыс. рублей;</w:t>
            </w:r>
          </w:p>
          <w:p>
            <w:pPr>
              <w:pStyle w:val="Normal"/>
              <w:widowControl w:val="false"/>
              <w:overflowPunct w:val="false"/>
              <w:textAlignment w:val="auto"/>
              <w:rPr/>
            </w:pPr>
            <w:r>
              <w:rPr/>
              <w:t>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/>
              <w:t xml:space="preserve"> год –  0,00 тыс. рублей.</w:t>
            </w:r>
          </w:p>
        </w:tc>
      </w:tr>
    </w:tbl>
    <w:p>
      <w:pPr>
        <w:pStyle w:val="Normal"/>
        <w:ind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ind w:firstLine="708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68c7"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e768c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e768c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harChar" w:customStyle="1">
    <w:name w:val="Char Char"/>
    <w:basedOn w:val="Normal"/>
    <w:qFormat/>
    <w:rsid w:val="00e768c7"/>
    <w:pPr>
      <w:widowControl/>
      <w:overflowPunct w:val="false"/>
      <w:spacing w:lineRule="exact" w:line="240" w:before="0" w:after="160"/>
      <w:textAlignment w:val="auto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LibreOffice/7.6.6.3$Windows_X86_64 LibreOffice_project/d97b2716a9a4a2ce1391dee1765565ea469b0ae7</Application>
  <AppVersion>15.0000</AppVersion>
  <Pages>2</Pages>
  <Words>230</Words>
  <Characters>1267</Characters>
  <CharactersWithSpaces>1908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2020-01-15T09:20:00Z</dcterms:created>
  <dc:creator>Печерских Наталья Дмитриевна</dc:creator>
  <dc:description/>
  <dc:language>ru-RU</dc:language>
  <cp:lastModifiedBy/>
  <cp:lastPrinted>2025-02-17T13:50:52Z</cp:lastPrinted>
  <dcterms:modified xsi:type="dcterms:W3CDTF">2025-02-17T14:10:32Z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