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pPr w:bottomFromText="0" w:horzAnchor="margin" w:leftFromText="180" w:rightFromText="180" w:tblpX="0" w:tblpY="356" w:topFromText="0" w:vertAnchor="margin"/>
        <w:tblW w:w="5000" w:type="pct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496"/>
        <w:gridCol w:w="1126"/>
        <w:gridCol w:w="128"/>
        <w:gridCol w:w="1065"/>
        <w:gridCol w:w="1325"/>
        <w:gridCol w:w="5604"/>
      </w:tblGrid>
      <w:tr>
        <w:trPr>
          <w:trHeight w:val="925" w:hRule="atLeast"/>
        </w:trPr>
        <w:tc>
          <w:tcPr>
            <w:tcW w:w="9744" w:type="dxa"/>
            <w:gridSpan w:val="6"/>
            <w:tcBorders/>
          </w:tcPr>
          <w:p>
            <w:pPr>
              <w:pStyle w:val="Normal"/>
              <w:widowControl/>
              <w:tabs>
                <w:tab w:val="clear" w:pos="708"/>
                <w:tab w:val="left" w:pos="7980" w:leader="none"/>
              </w:tabs>
              <w:jc w:val="center"/>
              <w:rPr>
                <w:sz w:val="24"/>
                <w:szCs w:val="24"/>
              </w:rPr>
            </w:pPr>
            <w:r>
              <w:rPr/>
              <w:t xml:space="preserve">                                         </w:t>
            </w:r>
            <w:r>
              <w:rPr/>
              <w:drawing>
                <wp:inline distT="0" distB="0" distL="0" distR="0">
                  <wp:extent cx="505460" cy="591185"/>
                  <wp:effectExtent l="0" t="0" r="0" b="0"/>
                  <wp:docPr id="1" name="Рисунок 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5460" cy="5911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                                 </w:t>
            </w:r>
            <w:r>
              <w:rPr>
                <w:b/>
                <w:bCs/>
                <w:iCs/>
                <w:sz w:val="24"/>
                <w:szCs w:val="24"/>
                <w:highlight w:val="yellow"/>
              </w:rPr>
              <w:t>ПРОЕКТ</w:t>
            </w:r>
          </w:p>
          <w:p>
            <w:pPr>
              <w:pStyle w:val="Normal"/>
              <w:widowControl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ДУМА</w:t>
            </w:r>
          </w:p>
        </w:tc>
      </w:tr>
      <w:tr>
        <w:trPr>
          <w:trHeight w:val="862" w:hRule="atLeast"/>
        </w:trPr>
        <w:tc>
          <w:tcPr>
            <w:tcW w:w="9744" w:type="dxa"/>
            <w:gridSpan w:val="6"/>
            <w:tcBorders/>
          </w:tcPr>
          <w:p>
            <w:pPr>
              <w:pStyle w:val="Normal"/>
              <w:widowControl/>
              <w:tabs>
                <w:tab w:val="clear" w:pos="708"/>
                <w:tab w:val="left" w:pos="312" w:leader="none"/>
                <w:tab w:val="left" w:pos="1560" w:leader="none"/>
                <w:tab w:val="left" w:pos="2652" w:leader="none"/>
              </w:tabs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АРТИНСКОГО ГОРОДСКОГО ОКРУГА</w:t>
            </w:r>
          </w:p>
          <w:p>
            <w:pPr>
              <w:pStyle w:val="Normal"/>
              <w:widowControl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РЕШЕНИЕ</w:t>
            </w:r>
          </w:p>
        </w:tc>
      </w:tr>
      <w:tr>
        <w:trPr/>
        <w:tc>
          <w:tcPr>
            <w:tcW w:w="496" w:type="dxa"/>
            <w:tcBorders/>
          </w:tcPr>
          <w:p>
            <w:pPr>
              <w:pStyle w:val="Normal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</w:t>
            </w:r>
          </w:p>
        </w:tc>
        <w:tc>
          <w:tcPr>
            <w:tcW w:w="1254" w:type="dxa"/>
            <w:gridSpan w:val="2"/>
            <w:tcBorders/>
          </w:tcPr>
          <w:p>
            <w:pPr>
              <w:pStyle w:val="Normal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65" w:type="dxa"/>
            <w:tcBorders/>
          </w:tcPr>
          <w:p>
            <w:pPr>
              <w:pStyle w:val="Normal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1325" w:type="dxa"/>
            <w:tcBorders/>
          </w:tcPr>
          <w:p>
            <w:pPr>
              <w:pStyle w:val="Normal"/>
              <w:widowControl/>
              <w:ind w:firstLine="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60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5" w:hRule="atLeast"/>
        </w:trPr>
        <w:tc>
          <w:tcPr>
            <w:tcW w:w="1622" w:type="dxa"/>
            <w:gridSpan w:val="2"/>
            <w:tcBorders/>
          </w:tcPr>
          <w:p>
            <w:pPr>
              <w:pStyle w:val="Normal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пгт. Арти</w:t>
            </w:r>
          </w:p>
        </w:tc>
        <w:tc>
          <w:tcPr>
            <w:tcW w:w="128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6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2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60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widowControl/>
        <w:jc w:val="center"/>
        <w:rPr>
          <w:b/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 xml:space="preserve">                                                                                        </w:t>
      </w:r>
    </w:p>
    <w:p>
      <w:pPr>
        <w:pStyle w:val="Normal"/>
        <w:widowControl/>
        <w:jc w:val="center"/>
        <w:rPr>
          <w:b/>
          <w:b/>
          <w:bCs/>
          <w:i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</w:r>
    </w:p>
    <w:p>
      <w:pPr>
        <w:pStyle w:val="Normal"/>
        <w:widowControl/>
        <w:jc w:val="center"/>
        <w:rPr>
          <w:b/>
          <w:b/>
          <w:bCs/>
          <w:i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О внесении изменений в Решение Думы Артинского городского округа от 28.11.2019 г. </w:t>
      </w:r>
    </w:p>
    <w:p>
      <w:pPr>
        <w:pStyle w:val="Normal"/>
        <w:widowControl/>
        <w:jc w:val="center"/>
        <w:rPr>
          <w:b/>
          <w:b/>
          <w:bCs/>
          <w:i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№ </w:t>
      </w:r>
      <w:r>
        <w:rPr>
          <w:b/>
          <w:bCs/>
          <w:i/>
          <w:iCs/>
          <w:sz w:val="24"/>
          <w:szCs w:val="24"/>
        </w:rPr>
        <w:t xml:space="preserve">57 «Об утверждении прогнозного плана приватизации муниципального имущества Артинского городского округа  на 2020 год и плановый период 2021 и 2022 годов» </w:t>
      </w:r>
    </w:p>
    <w:p>
      <w:pPr>
        <w:pStyle w:val="Normal"/>
        <w:widowControl/>
        <w:jc w:val="center"/>
        <w:rPr>
          <w:b/>
          <w:b/>
          <w:bCs/>
          <w:i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</w:r>
    </w:p>
    <w:p>
      <w:pPr>
        <w:pStyle w:val="Normal"/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sz w:val="24"/>
          <w:szCs w:val="24"/>
        </w:rPr>
        <w:t>Рассмотрев представленный Комитетом по управлению имуществом  Администрации Артинского городского округа проект Решения «О внесении изменений в Решения Думы Артинского городского округа от 28.11.2019 г. № 57 «Об утверждении прогнозного плана приватизации муниципального имущества Артинского городского округа  на 2020 год и плановый период 2021 и 2022 годов», в соответствии с Федеральным законом от 06.10.2003 г. № 131-ФЗ «Об общих принципах организации местного самоуправления в Российской Федерации», Федеральным законом от 21.12.2001г. № 178-ФЗ «О приватизации государственного и муниципального имущества», Положением «О порядке приватизации муниципального имущества Артинского городского округа», утвержденным Решением Думы Артинского городского округа от 29.10.2015 г. № 71 (в редакции Решений  Думы Артинского городского округа от 31.08.2017 г. № 45; от 30.08.2018 г. № 49, от 27.06.2019 г. № 30), в целях увеличения доходов бюджета Артинского городского округа, руководствуясь Уставом Артинского городского округа, Дума Артинского городского округа</w:t>
      </w:r>
    </w:p>
    <w:p>
      <w:pPr>
        <w:pStyle w:val="Normal"/>
        <w:widowControl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ind w:firstLine="709"/>
        <w:jc w:val="both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РЕШИЛА:  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Внести следующие изменения в Решение Думы Артинского городского округа </w:t>
      </w:r>
      <w:r>
        <w:rPr>
          <w:sz w:val="24"/>
          <w:szCs w:val="24"/>
        </w:rPr>
        <w:t xml:space="preserve">от </w:t>
      </w:r>
      <w:r>
        <w:rPr>
          <w:sz w:val="24"/>
          <w:szCs w:val="24"/>
        </w:rPr>
        <w:t>28.11.2019 г. № 57 «Об утверждении прогнозного плана приватизации муниципального имущества Артинского городского округа  на 2020 год и плановый период 2021 и 2022 годов»,  (далее - прогнозный план приватизации):</w:t>
      </w:r>
    </w:p>
    <w:p>
      <w:pPr>
        <w:pStyle w:val="Normal"/>
        <w:tabs>
          <w:tab w:val="clear" w:pos="708"/>
          <w:tab w:val="left" w:pos="1260" w:leader="none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1.1. Строки 32 и 33 таблицы Приложения к прогнозному плану приватизации «Перечень объектов муниципальной собственности, подлежащих приватизации в 2020 году и плановом периоде 2021 и 2022 годов», изложить в следующей редакции:</w:t>
      </w:r>
    </w:p>
    <w:tbl>
      <w:tblPr>
        <w:tblW w:w="9924" w:type="dxa"/>
        <w:jc w:val="left"/>
        <w:tblInd w:w="-106" w:type="dxa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536"/>
        <w:gridCol w:w="1371"/>
        <w:gridCol w:w="1944"/>
        <w:gridCol w:w="1308"/>
        <w:gridCol w:w="685"/>
        <w:gridCol w:w="959"/>
        <w:gridCol w:w="1249"/>
        <w:gridCol w:w="959"/>
        <w:gridCol w:w="912"/>
      </w:tblGrid>
      <w:tr>
        <w:trPr/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здание (ангар) Литер Е с земельным участком</w:t>
            </w:r>
          </w:p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д. Березовка, ул. Железнодорожников, 2 б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Этажность 1</w:t>
            </w:r>
          </w:p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(кирпичное) 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677,7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Передано на ответственное хранение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п.5 ст. 50 </w:t>
            </w:r>
          </w:p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</w:t>
            </w:r>
            <w:r>
              <w:rPr>
                <w:sz w:val="18"/>
                <w:szCs w:val="18"/>
              </w:rPr>
              <w:t>131-ФЗ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аукцион</w:t>
            </w:r>
          </w:p>
        </w:tc>
      </w:tr>
      <w:tr>
        <w:trPr/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здание Литер Ж с земельным участком</w:t>
            </w:r>
          </w:p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д. Березовка, ул. Железнодорожников, 2 б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Этажность 1</w:t>
            </w:r>
          </w:p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(металлический)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710,8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Передано на ответственное хранение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п.5 ст. 50 </w:t>
            </w:r>
          </w:p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</w:t>
            </w:r>
            <w:r>
              <w:rPr>
                <w:sz w:val="18"/>
                <w:szCs w:val="18"/>
              </w:rPr>
              <w:t>131-ФЗ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аукцион</w:t>
            </w:r>
          </w:p>
        </w:tc>
      </w:tr>
    </w:tbl>
    <w:p>
      <w:pPr>
        <w:pStyle w:val="Normal"/>
        <w:tabs>
          <w:tab w:val="clear" w:pos="708"/>
          <w:tab w:val="left" w:pos="1260" w:leader="none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1.2. Из Таблицы Приложения к прогнозному плану приватизации «Перечень объектов муниципальной собственности, подлежащих приватизации в 2020 году и плановом периоде 2021 и 2022 годов», в связи с продажей исключить строки номер 1 и  номер 21 следующего содержания:</w:t>
      </w:r>
    </w:p>
    <w:tbl>
      <w:tblPr>
        <w:tblW w:w="9972" w:type="dxa"/>
        <w:jc w:val="left"/>
        <w:tblInd w:w="-106" w:type="dxa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393"/>
        <w:gridCol w:w="1538"/>
        <w:gridCol w:w="1525"/>
        <w:gridCol w:w="1417"/>
        <w:gridCol w:w="574"/>
        <w:gridCol w:w="1416"/>
        <w:gridCol w:w="1146"/>
        <w:gridCol w:w="1062"/>
        <w:gridCol w:w="900"/>
      </w:tblGrid>
      <w:tr>
        <w:trPr/>
        <w:tc>
          <w:tcPr>
            <w:tcW w:w="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здание (комбайновский цех) с земельным участком 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Артинский район, с. Свердловское, ул. Юбилейная, 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>
                <w:sz w:val="18"/>
                <w:szCs w:val="18"/>
              </w:rPr>
              <w:t>Этажность 1</w:t>
            </w:r>
          </w:p>
          <w:p>
            <w:pPr>
              <w:pStyle w:val="Normal"/>
              <w:jc w:val="center"/>
              <w:rPr/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(кирпичное)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используется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п.5 ст. 50 </w:t>
            </w:r>
          </w:p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</w:t>
            </w:r>
            <w:r>
              <w:rPr>
                <w:sz w:val="18"/>
                <w:szCs w:val="18"/>
              </w:rPr>
              <w:t>131-ФЗ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аукцион</w:t>
            </w:r>
          </w:p>
        </w:tc>
      </w:tr>
      <w:tr>
        <w:trPr/>
        <w:tc>
          <w:tcPr>
            <w:tcW w:w="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здание  (ангар) Литер Ж с земельным участком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д. Березовка, ул. Трактовая 2 б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Этажность 1</w:t>
            </w:r>
          </w:p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(металлическое) 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tabs>
                <w:tab w:val="clear" w:pos="708"/>
                <w:tab w:val="left" w:pos="6162" w:leader="none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683,6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удовлетворительное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используется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п.5 ст. 50 </w:t>
            </w:r>
          </w:p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</w:t>
            </w:r>
            <w:r>
              <w:rPr>
                <w:sz w:val="18"/>
                <w:szCs w:val="18"/>
              </w:rPr>
              <w:t>131-ФЗ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аукцион</w:t>
            </w:r>
          </w:p>
        </w:tc>
      </w:tr>
    </w:tbl>
    <w:p>
      <w:pPr>
        <w:pStyle w:val="Normal"/>
        <w:tabs>
          <w:tab w:val="clear" w:pos="708"/>
          <w:tab w:val="left" w:pos="1260" w:leader="none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1.3. Нумерацию строк Приложения к прогнозному плану приватизации «Перечень объектов муниципальной собственности, подлежащих приватизации в 2020 году и плановом периоде 2021 и 2022 годов» привести в соответствие (с  номера 1 по номер 38).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1.4. Таблицу Приложения к прогнозному плану приватизации «Перечень объектов муниципальной собственности, подлежащих приватизации в 2020 году и плановом периоде 2021 и 2022 годов» дополнить строками с номером 39 и номером 40 в следующей редакции:</w:t>
      </w:r>
    </w:p>
    <w:tbl>
      <w:tblPr>
        <w:tblW w:w="9972" w:type="dxa"/>
        <w:jc w:val="left"/>
        <w:tblInd w:w="-106" w:type="dxa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540"/>
        <w:gridCol w:w="1367"/>
        <w:gridCol w:w="1426"/>
        <w:gridCol w:w="1275"/>
        <w:gridCol w:w="779"/>
        <w:gridCol w:w="1524"/>
        <w:gridCol w:w="1099"/>
        <w:gridCol w:w="1061"/>
        <w:gridCol w:w="900"/>
      </w:tblGrid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</w:t>
            </w:r>
          </w:p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Свердловская область, р-н Артинский, с. Малая Тавра, ул. Ясная, д. 2, помещение 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Этажность 1</w:t>
            </w:r>
          </w:p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(кирпичное) 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49,7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Передано на ответственное хранение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п.5 ст. 50 </w:t>
            </w:r>
          </w:p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</w:t>
            </w:r>
            <w:r>
              <w:rPr>
                <w:sz w:val="18"/>
                <w:szCs w:val="18"/>
              </w:rPr>
              <w:t>131-ФЗ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аукцион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Свердловская область, р-н Артинский, пгт. Арти, ул. Рабочей Молодежи, 234, Литер Г 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Этажность 1</w:t>
            </w:r>
          </w:p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(кирпичное)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52,0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используется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п.5 ст. 50 </w:t>
            </w:r>
          </w:p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</w:t>
            </w:r>
            <w:r>
              <w:rPr>
                <w:sz w:val="18"/>
                <w:szCs w:val="18"/>
              </w:rPr>
              <w:t>131-ФЗ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аукцион</w:t>
            </w:r>
          </w:p>
        </w:tc>
      </w:tr>
    </w:tbl>
    <w:p>
      <w:pPr>
        <w:pStyle w:val="Normal"/>
        <w:tabs>
          <w:tab w:val="clear" w:pos="708"/>
          <w:tab w:val="left" w:pos="1260" w:leader="none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 Настоящее Решение вступает в силу с момента принятия.</w:t>
      </w:r>
    </w:p>
    <w:p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3. Опубликовать настоящее Решение в «Муниципальном вестнике» газеты «Артинские вести», на официальном сайте торгов </w:t>
      </w:r>
      <w:r>
        <w:rPr>
          <w:rFonts w:cs="Times New Roman" w:ascii="Times New Roman" w:hAnsi="Times New Roman"/>
          <w:sz w:val="24"/>
          <w:szCs w:val="24"/>
          <w:lang w:val="en-US"/>
        </w:rPr>
        <w:t>torgi</w:t>
      </w:r>
      <w:r>
        <w:rPr>
          <w:rFonts w:cs="Times New Roman" w:ascii="Times New Roman" w:hAnsi="Times New Roman"/>
          <w:sz w:val="24"/>
          <w:szCs w:val="24"/>
        </w:rPr>
        <w:t>.</w:t>
      </w:r>
      <w:r>
        <w:rPr>
          <w:rFonts w:cs="Times New Roman" w:ascii="Times New Roman" w:hAnsi="Times New Roman"/>
          <w:sz w:val="24"/>
          <w:szCs w:val="24"/>
          <w:lang w:val="en-US"/>
        </w:rPr>
        <w:t>gov</w:t>
      </w:r>
      <w:r>
        <w:rPr>
          <w:rFonts w:cs="Times New Roman" w:ascii="Times New Roman" w:hAnsi="Times New Roman"/>
          <w:sz w:val="24"/>
          <w:szCs w:val="24"/>
        </w:rPr>
        <w:t>.</w:t>
      </w:r>
      <w:r>
        <w:rPr>
          <w:rFonts w:cs="Times New Roman" w:ascii="Times New Roman" w:hAnsi="Times New Roman"/>
          <w:sz w:val="24"/>
          <w:szCs w:val="24"/>
          <w:lang w:val="en-US"/>
        </w:rPr>
        <w:t>ru</w:t>
      </w:r>
      <w:r>
        <w:rPr>
          <w:rFonts w:cs="Times New Roman" w:ascii="Times New Roman" w:hAnsi="Times New Roman"/>
          <w:sz w:val="24"/>
          <w:szCs w:val="24"/>
        </w:rPr>
        <w:t xml:space="preserve">, на официальных сайтах Администрации Артинского городского округа </w:t>
      </w:r>
      <w:r>
        <w:rPr>
          <w:rFonts w:cs="Times New Roman" w:ascii="Times New Roman" w:hAnsi="Times New Roman"/>
          <w:sz w:val="24"/>
          <w:szCs w:val="24"/>
          <w:lang w:val="en-US"/>
        </w:rPr>
        <w:t>arti</w:t>
      </w:r>
      <w:r>
        <w:rPr>
          <w:rFonts w:cs="Times New Roman" w:ascii="Times New Roman" w:hAnsi="Times New Roman"/>
          <w:sz w:val="24"/>
          <w:szCs w:val="24"/>
        </w:rPr>
        <w:t>-</w:t>
      </w:r>
      <w:r>
        <w:rPr>
          <w:rFonts w:cs="Times New Roman" w:ascii="Times New Roman" w:hAnsi="Times New Roman"/>
          <w:sz w:val="24"/>
          <w:szCs w:val="24"/>
          <w:lang w:val="en-US"/>
        </w:rPr>
        <w:t>go</w:t>
      </w:r>
      <w:r>
        <w:rPr>
          <w:rFonts w:cs="Times New Roman" w:ascii="Times New Roman" w:hAnsi="Times New Roman"/>
          <w:sz w:val="24"/>
          <w:szCs w:val="24"/>
        </w:rPr>
        <w:t>.</w:t>
      </w:r>
      <w:r>
        <w:rPr>
          <w:rFonts w:cs="Times New Roman" w:ascii="Times New Roman" w:hAnsi="Times New Roman"/>
          <w:sz w:val="24"/>
          <w:szCs w:val="24"/>
          <w:lang w:val="en-US"/>
        </w:rPr>
        <w:t>ru</w:t>
      </w:r>
      <w:r>
        <w:rPr>
          <w:rFonts w:cs="Times New Roman" w:ascii="Times New Roman" w:hAnsi="Times New Roman"/>
          <w:sz w:val="24"/>
          <w:szCs w:val="24"/>
        </w:rPr>
        <w:t xml:space="preserve"> и Думы Артинского городского округа </w:t>
      </w:r>
      <w:r>
        <w:rPr>
          <w:rFonts w:cs="Times New Roman" w:ascii="Times New Roman" w:hAnsi="Times New Roman"/>
          <w:sz w:val="24"/>
          <w:szCs w:val="24"/>
          <w:lang w:val="en-US"/>
        </w:rPr>
        <w:t>dumartinfo</w:t>
      </w:r>
      <w:r>
        <w:rPr>
          <w:rFonts w:cs="Times New Roman" w:ascii="Times New Roman" w:hAnsi="Times New Roman"/>
          <w:sz w:val="24"/>
          <w:szCs w:val="24"/>
        </w:rPr>
        <w:t>.</w:t>
      </w:r>
      <w:r>
        <w:rPr>
          <w:rFonts w:cs="Times New Roman" w:ascii="Times New Roman" w:hAnsi="Times New Roman"/>
          <w:sz w:val="24"/>
          <w:szCs w:val="24"/>
          <w:lang w:val="en-US"/>
        </w:rPr>
        <w:t>ru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Normal"/>
        <w:widowControl/>
        <w:suppressAutoHyphens w:val="true"/>
        <w:overflowPunct w:val="false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4. Контроль исполнения Решения возложить на постоянную депутатскую комиссию по экономике, бюджету и налогам (Жуков В.В.)</w:t>
      </w:r>
    </w:p>
    <w:p>
      <w:pPr>
        <w:pStyle w:val="Normal"/>
        <w:widowControl/>
        <w:suppressAutoHyphens w:val="true"/>
        <w:overflowPunct w:val="false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suppressAutoHyphens w:val="true"/>
        <w:overflowPunct w:val="false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suppressAutoHyphens w:val="true"/>
        <w:overflowPunct w:val="false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260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>Глава Артинского городского округа                                                         А.А. Константинов</w:t>
      </w:r>
    </w:p>
    <w:p>
      <w:pPr>
        <w:pStyle w:val="Normal"/>
        <w:widowControl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Думы Артинского городского округа </w:t>
        <w:tab/>
        <w:tab/>
        <w:t xml:space="preserve">               В.П. Бусыгина   </w:t>
      </w:r>
    </w:p>
    <w:p>
      <w:pPr>
        <w:pStyle w:val="Normal"/>
        <w:tabs>
          <w:tab w:val="clear" w:pos="708"/>
          <w:tab w:val="left" w:pos="1260" w:leader="none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260" w:leader="none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260" w:leader="none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hanging="0"/>
        <w:jc w:val="both"/>
        <w:rPr/>
      </w:pPr>
      <w:r>
        <w:rPr/>
      </w:r>
    </w:p>
    <w:p>
      <w:pPr>
        <w:pStyle w:val="Normal"/>
        <w:widowControl/>
        <w:suppressAutoHyphens w:val="true"/>
        <w:overflowPunct w:val="false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suppressAutoHyphens w:val="true"/>
        <w:overflowPunct w:val="false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suppressAutoHyphens w:val="true"/>
        <w:overflowPunct w:val="false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260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 О Г Л А С О В А Н И Е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  <w:highlight w:val="yellow"/>
        </w:rPr>
        <w:t xml:space="preserve">проекта </w:t>
      </w:r>
      <w:r>
        <w:rPr>
          <w:sz w:val="24"/>
          <w:szCs w:val="24"/>
        </w:rPr>
        <w:t xml:space="preserve">Решения Думы Артинского городского округа </w:t>
      </w:r>
    </w:p>
    <w:p>
      <w:pPr>
        <w:pStyle w:val="Normal"/>
        <w:widowControl/>
        <w:jc w:val="center"/>
        <w:rPr>
          <w:b/>
          <w:b/>
          <w:bCs/>
          <w:i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«О внесении изменений в Решение Думы Артинского городского округа от 28.11.2019 г. № 57 «Об утверждении прогнозного плана приватизации муниципального имущества Артинского городского округа  на 2020 год и плановый период 2021 и 2022 годов» </w:t>
      </w:r>
    </w:p>
    <w:p>
      <w:pPr>
        <w:pStyle w:val="Normal"/>
        <w:jc w:val="center"/>
        <w:rPr>
          <w:b/>
          <w:b/>
          <w:bCs/>
          <w:i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</w:r>
    </w:p>
    <w:tbl>
      <w:tblPr>
        <w:tblW w:w="9984" w:type="dxa"/>
        <w:jc w:val="left"/>
        <w:tblInd w:w="-106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259"/>
        <w:gridCol w:w="1946"/>
        <w:gridCol w:w="1176"/>
        <w:gridCol w:w="2653"/>
        <w:gridCol w:w="1950"/>
      </w:tblGrid>
      <w:tr>
        <w:trPr/>
        <w:tc>
          <w:tcPr>
            <w:tcW w:w="22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</w:t>
            </w:r>
          </w:p>
        </w:tc>
        <w:tc>
          <w:tcPr>
            <w:tcW w:w="19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Фамилия и </w:t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инициалы</w:t>
            </w:r>
          </w:p>
        </w:tc>
        <w:tc>
          <w:tcPr>
            <w:tcW w:w="5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Сроки и результаты голосования</w:t>
            </w:r>
          </w:p>
        </w:tc>
      </w:tr>
      <w:tr>
        <w:trPr/>
        <w:tc>
          <w:tcPr>
            <w:tcW w:w="225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Замечания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Подпись</w:t>
            </w:r>
          </w:p>
        </w:tc>
      </w:tr>
      <w:tr>
        <w:trPr/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И.о заведующей юридическим отделом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Омелькова Л.И.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 о председателя Комитета по управлению имуществом Администрации АГО</w:t>
            </w:r>
          </w:p>
          <w:p>
            <w:pPr>
              <w:pStyle w:val="Normal"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Федякова Е.А.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6162" w:leader="none"/>
        </w:tabs>
        <w:rPr>
          <w:sz w:val="24"/>
          <w:szCs w:val="24"/>
        </w:rPr>
      </w:pPr>
      <w:r>
        <w:rPr>
          <w:sz w:val="24"/>
          <w:szCs w:val="24"/>
        </w:rPr>
        <w:t>Разослано: 7   экз.</w:t>
      </w:r>
    </w:p>
    <w:p>
      <w:pPr>
        <w:pStyle w:val="Normal"/>
        <w:tabs>
          <w:tab w:val="clear" w:pos="708"/>
          <w:tab w:val="left" w:pos="6162" w:leader="none"/>
        </w:tabs>
        <w:rPr>
          <w:sz w:val="24"/>
          <w:szCs w:val="24"/>
        </w:rPr>
      </w:pPr>
      <w:r>
        <w:rPr>
          <w:sz w:val="24"/>
          <w:szCs w:val="24"/>
        </w:rPr>
        <w:t>в дело- 1</w:t>
      </w:r>
    </w:p>
    <w:p>
      <w:pPr>
        <w:pStyle w:val="Normal"/>
        <w:tabs>
          <w:tab w:val="clear" w:pos="708"/>
          <w:tab w:val="left" w:pos="6162" w:leader="none"/>
        </w:tabs>
        <w:rPr>
          <w:sz w:val="24"/>
          <w:szCs w:val="24"/>
        </w:rPr>
      </w:pPr>
      <w:r>
        <w:rPr>
          <w:sz w:val="24"/>
          <w:szCs w:val="24"/>
        </w:rPr>
        <w:t>Дума – 1 экз.</w:t>
      </w:r>
    </w:p>
    <w:p>
      <w:pPr>
        <w:pStyle w:val="Normal"/>
        <w:tabs>
          <w:tab w:val="clear" w:pos="708"/>
          <w:tab w:val="left" w:pos="6162" w:leader="none"/>
        </w:tabs>
        <w:rPr>
          <w:sz w:val="24"/>
          <w:szCs w:val="24"/>
        </w:rPr>
      </w:pPr>
      <w:r>
        <w:rPr>
          <w:sz w:val="24"/>
          <w:szCs w:val="24"/>
        </w:rPr>
        <w:t>Ред. газеты «Артинские вести» - 1</w:t>
      </w:r>
    </w:p>
    <w:p>
      <w:pPr>
        <w:pStyle w:val="Normal"/>
        <w:tabs>
          <w:tab w:val="clear" w:pos="708"/>
          <w:tab w:val="left" w:pos="6162" w:leader="none"/>
        </w:tabs>
        <w:rPr>
          <w:sz w:val="24"/>
          <w:szCs w:val="24"/>
        </w:rPr>
      </w:pPr>
      <w:r>
        <w:rPr>
          <w:sz w:val="24"/>
          <w:szCs w:val="24"/>
        </w:rPr>
        <w:t>Юр. отдел -1</w:t>
      </w:r>
    </w:p>
    <w:p>
      <w:pPr>
        <w:pStyle w:val="Normal"/>
        <w:tabs>
          <w:tab w:val="clear" w:pos="708"/>
          <w:tab w:val="left" w:pos="6162" w:leader="none"/>
        </w:tabs>
        <w:rPr>
          <w:sz w:val="24"/>
          <w:szCs w:val="24"/>
        </w:rPr>
      </w:pPr>
      <w:r>
        <w:rPr>
          <w:sz w:val="24"/>
          <w:szCs w:val="24"/>
        </w:rPr>
        <w:t>КУИ – 1</w:t>
      </w:r>
    </w:p>
    <w:p>
      <w:pPr>
        <w:pStyle w:val="Normal"/>
        <w:tabs>
          <w:tab w:val="clear" w:pos="708"/>
          <w:tab w:val="left" w:pos="6162" w:leader="none"/>
        </w:tabs>
        <w:rPr>
          <w:sz w:val="24"/>
          <w:szCs w:val="24"/>
        </w:rPr>
      </w:pPr>
      <w:r>
        <w:rPr>
          <w:sz w:val="24"/>
          <w:szCs w:val="24"/>
        </w:rPr>
        <w:t>Прокуратура -1</w:t>
      </w:r>
    </w:p>
    <w:p>
      <w:pPr>
        <w:pStyle w:val="Normal"/>
        <w:tabs>
          <w:tab w:val="clear" w:pos="708"/>
          <w:tab w:val="left" w:pos="6162" w:leader="none"/>
        </w:tabs>
        <w:rPr>
          <w:sz w:val="24"/>
          <w:szCs w:val="24"/>
        </w:rPr>
      </w:pPr>
      <w:r>
        <w:rPr>
          <w:sz w:val="24"/>
          <w:szCs w:val="24"/>
        </w:rPr>
        <w:t>КСО - 1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 xml:space="preserve">                            </w:t>
      </w:r>
    </w:p>
    <w:p>
      <w:pPr>
        <w:pStyle w:val="Normal"/>
        <w:rPr/>
      </w:pPr>
      <w:r>
        <w:rPr/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  <w:t>Исп.: Банникова  Н.А.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  <w:t>тел. 2-11-46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320" w:right="842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doNotHyphenateCaps/>
  <w:compat>
    <w:compatSetting w:name="compatibilityMode" w:uri="http://schemas.microsoft.com/office/word" w:val="1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c06eb"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8"/>
      <w:szCs w:val="28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locked/>
    <w:rsid w:val="00cc06eb"/>
    <w:rPr>
      <w:rFonts w:ascii="Tahoma" w:hAnsi="Tahoma" w:cs="Tahoma"/>
      <w:sz w:val="16"/>
      <w:szCs w:val="16"/>
      <w:lang w:eastAsia="ru-RU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ConsPlusNormal" w:customStyle="1">
    <w:name w:val="ConsPlusNormal"/>
    <w:uiPriority w:val="99"/>
    <w:qFormat/>
    <w:rsid w:val="00cc06eb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ar-SA" w:bidi="ar-SA"/>
    </w:rPr>
  </w:style>
  <w:style w:type="paragraph" w:styleId="BalloonText">
    <w:name w:val="Balloon Text"/>
    <w:basedOn w:val="Normal"/>
    <w:link w:val="a5"/>
    <w:uiPriority w:val="99"/>
    <w:semiHidden/>
    <w:qFormat/>
    <w:rsid w:val="00cc06eb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e150f"/>
    <w:pPr>
      <w:ind w:left="720" w:hanging="0"/>
    </w:pPr>
    <w:rPr/>
  </w:style>
  <w:style w:type="paragraph" w:styleId="Style20">
    <w:name w:val="Верхний и нижний колонтитулы"/>
    <w:basedOn w:val="Normal"/>
    <w:qFormat/>
    <w:pPr>
      <w:suppressLineNumbers/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1">
    <w:name w:val="Header"/>
    <w:basedOn w:val="Style20"/>
    <w:pPr>
      <w:suppressLineNumbers/>
    </w:pPr>
    <w:rPr/>
  </w:style>
  <w:style w:type="paragraph" w:styleId="Style22">
    <w:name w:val="Содержимое таблицы"/>
    <w:basedOn w:val="Normal"/>
    <w:qFormat/>
    <w:pPr>
      <w:suppressLineNumbers/>
    </w:pPr>
    <w:rPr/>
  </w:style>
  <w:style w:type="paragraph" w:styleId="Style23">
    <w:name w:val="Заголовок таблицы"/>
    <w:basedOn w:val="Style22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99"/>
    <w:rsid w:val="00cc06eb"/>
    <w:rPr>
      <w:sz w:val="20"/>
      <w:szCs w:val="20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0C9E4-F29C-4E16-BC3D-4BBD97C9A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Application>LibreOffice/6.4.4.2$Windows_x86 LibreOffice_project/3d775be2011f3886db32dfd395a6a6d1ca2630ff</Application>
  <Pages>3</Pages>
  <Words>708</Words>
  <Characters>4352</Characters>
  <CharactersWithSpaces>5261</CharactersWithSpaces>
  <Paragraphs>113</Paragraphs>
  <Company>Apти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2018-10-16T09:25:00Z</dcterms:created>
  <dc:creator>Екатерина</dc:creator>
  <dc:description/>
  <dc:language>ru-RU</dc:language>
  <cp:lastModifiedBy/>
  <cp:lastPrinted>2020-08-06T16:44:14Z</cp:lastPrinted>
  <dcterms:modified xsi:type="dcterms:W3CDTF">2020-08-19T12:34:58Z</dcterms:modified>
  <cp:revision>50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Apти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