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/>
        <w:drawing>
          <wp:inline distT="0" distB="0" distL="0" distR="0">
            <wp:extent cx="485140" cy="609600"/>
            <wp:effectExtent l="0" t="0" r="0" b="0"/>
            <wp:docPr id="1" name="Рисунок 2" descr="C:\Users\Екатерина\Desktop\Герб-артинского-городского-округ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Екатерина\Desktop\Герб-артинского-городского-округа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Проект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АРТИНСКОГО ГОРОДСКОГО ОКРУГА</w:t>
      </w:r>
    </w:p>
    <w:p>
      <w:pPr>
        <w:pStyle w:val="Normal"/>
        <w:widowControl w:val="false"/>
        <w:overflowPunct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widowControl w:val="false"/>
        <w:overflowPunct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              №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пгт. Арти</w:t>
      </w:r>
    </w:p>
    <w:p>
      <w:pPr>
        <w:pStyle w:val="Normal"/>
        <w:overflowPunct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179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79"/>
      </w:tblGrid>
      <w:tr>
        <w:trPr/>
        <w:tc>
          <w:tcPr>
            <w:tcW w:w="9179" w:type="dxa"/>
            <w:tcBorders/>
            <w:shd w:color="auto" w:fill="auto" w:val="clear"/>
          </w:tcPr>
          <w:p>
            <w:pPr>
              <w:pStyle w:val="1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</w:rPr>
              <w:t>О внесении изменений в Решение Думы Артинского городского округа от 24.12.2019 г. № 67 «О заработной плате лиц, замещающих муниципальные должности Артинского городского округа</w:t>
            </w:r>
          </w:p>
          <w:p>
            <w:pPr>
              <w:pStyle w:val="1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bCs/>
                <w:i/>
                <w:iCs/>
              </w:rPr>
              <w:t>на постоянной основе»</w:t>
            </w:r>
          </w:p>
        </w:tc>
      </w:tr>
    </w:tbl>
    <w:p>
      <w:pPr>
        <w:pStyle w:val="Style21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57" w:after="177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представленный Главой Артинского городского округа проект Решения  Думы Артинского городского округа «</w:t>
      </w:r>
      <w:r>
        <w:rPr>
          <w:sz w:val="28"/>
          <w:szCs w:val="28"/>
        </w:rPr>
        <w:t xml:space="preserve">О внесении изменений в Решение Думы Артинского городского округа от 24.12.2019 г. № 67 «О заработной плате лиц, замещающих муниципальные должности Артинского городского округа на постоянной основе»,  </w:t>
      </w:r>
      <w:r>
        <w:rPr>
          <w:bCs/>
          <w:sz w:val="28"/>
          <w:szCs w:val="28"/>
        </w:rPr>
        <w:t xml:space="preserve"> в целях исполнения требований федерального законодательства и приведения вышеуказанного Решения в соответствие с</w:t>
      </w:r>
      <w:r>
        <w:rPr>
          <w:bCs/>
          <w:color w:val="000000"/>
          <w:sz w:val="28"/>
          <w:szCs w:val="28"/>
        </w:rPr>
        <w:t xml:space="preserve"> </w:t>
      </w:r>
      <w:hyperlink r:id="rId3">
        <w:r>
          <w:rPr>
            <w:bCs/>
            <w:color w:val="000000"/>
            <w:sz w:val="28"/>
            <w:szCs w:val="28"/>
          </w:rPr>
          <w:t>Уставом</w:t>
        </w:r>
      </w:hyperlink>
      <w:r>
        <w:rPr>
          <w:bCs/>
          <w:color w:val="000000"/>
          <w:sz w:val="28"/>
          <w:szCs w:val="28"/>
        </w:rPr>
        <w:t xml:space="preserve"> Артинского </w:t>
      </w:r>
      <w:r>
        <w:rPr>
          <w:bCs/>
          <w:sz w:val="28"/>
          <w:szCs w:val="28"/>
        </w:rPr>
        <w:t xml:space="preserve">городского округа, руководствуясь </w:t>
      </w:r>
      <w:r>
        <w:rPr>
          <w:bCs/>
          <w:color w:val="000000"/>
          <w:sz w:val="28"/>
          <w:szCs w:val="28"/>
        </w:rPr>
        <w:t xml:space="preserve">Федеральным </w:t>
      </w:r>
      <w:hyperlink r:id="rId4">
        <w:r>
          <w:rPr>
            <w:bCs/>
            <w:color w:val="000000"/>
            <w:sz w:val="28"/>
            <w:szCs w:val="28"/>
          </w:rPr>
          <w:t>законом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  <w:shd w:fill="auto" w:val="clear"/>
        </w:rPr>
        <w:t>от 06.10.2003 г. № 131-ФЗ "Об общих принципах организации местного самоуправления в Российской Федерации"</w:t>
      </w:r>
      <w:r>
        <w:rPr>
          <w:bCs/>
          <w:sz w:val="28"/>
          <w:szCs w:val="28"/>
        </w:rPr>
        <w:t xml:space="preserve">, Федеральным </w:t>
      </w:r>
      <w:hyperlink r:id="rId5">
        <w:r>
          <w:rPr>
            <w:bCs/>
            <w:color w:val="000000"/>
            <w:sz w:val="28"/>
            <w:szCs w:val="28"/>
          </w:rPr>
          <w:t>законом</w:t>
        </w:r>
      </w:hyperlink>
      <w:r>
        <w:rPr>
          <w:bCs/>
          <w:color w:val="000000"/>
          <w:sz w:val="28"/>
          <w:szCs w:val="28"/>
        </w:rPr>
        <w:t xml:space="preserve">  от 07.02.2011г.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>
        <w:rPr>
          <w:bCs/>
          <w:sz w:val="28"/>
          <w:szCs w:val="28"/>
        </w:rPr>
        <w:t xml:space="preserve"> </w:t>
      </w:r>
      <w:hyperlink r:id="rId6">
        <w:r>
          <w:rPr>
            <w:bCs/>
            <w:color w:val="000000"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Свердловской области от 12.07.2011 г. № 62-ОЗ "О Счетной палате Свердловской области и контрольно-счетных органах муниципальных образований, расположенных на территории Свердловской области", Дума Артинского городского округа 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>
      <w:pPr>
        <w:pStyle w:val="ConsPlusNormal"/>
        <w:spacing w:lineRule="auto" w:line="240" w:before="217" w:after="57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1. Внести следующие изменения в Решение Думы Артинского городского округа от 24.12.2019 г. № 67 «О заработной плате лиц, замещающих муниципальные должности Артинского городского округа на постоянной основе»:</w:t>
      </w:r>
    </w:p>
    <w:p>
      <w:pPr>
        <w:pStyle w:val="ConsPlusNormal"/>
        <w:spacing w:lineRule="auto" w:line="240" w:before="103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1.2. Пункт 4 дополнить абзацем в следующей редакции: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В состав дополнительных выплат заработной платы лица, замещающего муниципальную должность председателя Контрольно-счетного органа Артинского городского округа на постоянной основе, входят:</w:t>
      </w:r>
    </w:p>
    <w:p>
      <w:pPr>
        <w:pStyle w:val="Normal"/>
        <w:numPr>
          <w:ilvl w:val="0"/>
          <w:numId w:val="1"/>
        </w:numPr>
        <w:spacing w:before="0"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ежемесячное денежное поощрение;</w:t>
      </w:r>
    </w:p>
    <w:p>
      <w:pPr>
        <w:pStyle w:val="Normal"/>
        <w:numPr>
          <w:ilvl w:val="0"/>
          <w:numId w:val="1"/>
        </w:numPr>
        <w:spacing w:before="0"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единовременная выплата, осуществляемая при предоставлении ежегодного оплачиваемого отпуска.».</w:t>
      </w:r>
    </w:p>
    <w:p>
      <w:pPr>
        <w:pStyle w:val="ConsPlusNormal"/>
        <w:spacing w:lineRule="auto" w:line="240"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16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1.2. Пункт 5 после слов «председателя Думы на постоянной основе,» дополнить словами « </w:t>
      </w:r>
      <w:r>
        <w:rPr>
          <w:rFonts w:eastAsia="Calibri" w:ascii="Times New Roman" w:hAnsi="Times New Roman"/>
          <w:sz w:val="28"/>
          <w:szCs w:val="28"/>
        </w:rPr>
        <w:t>председателя Контрольно-счетного органа Артинского городского округа,».</w:t>
      </w:r>
    </w:p>
    <w:p>
      <w:pPr>
        <w:pStyle w:val="ConsPlusNormal"/>
        <w:spacing w:lineRule="auto" w:line="240" w:before="160" w:after="0"/>
        <w:ind w:firstLine="540"/>
        <w:jc w:val="both"/>
        <w:rPr/>
      </w:pPr>
      <w:r>
        <w:rPr>
          <w:rFonts w:eastAsia="Calibri" w:ascii="Times New Roman" w:hAnsi="Times New Roman"/>
          <w:sz w:val="28"/>
          <w:szCs w:val="28"/>
        </w:rPr>
        <w:t>1.3. Пункт 9 дополнить словами «, председателя Контрольно-счетного органа Артинского городского округа».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>1.4. Таблицу «</w:t>
      </w:r>
      <w:r>
        <w:rPr>
          <w:rFonts w:eastAsia="Calibri" w:ascii="Times New Roman" w:hAnsi="Times New Roman"/>
          <w:sz w:val="28"/>
          <w:szCs w:val="28"/>
        </w:rPr>
        <w:t>Размеры должностного оклада лиц, замещающих муниципальные должности Артинского городского округа на постоянной основе»  изложить в следующей редакци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и </w:t>
      </w:r>
      <w:hyperlink w:anchor="Par43">
        <w:r>
          <w:rPr>
            <w:rFonts w:eastAsia="Calibri" w:ascii="Times New Roman" w:hAnsi="Times New Roman"/>
            <w:color w:val="000000"/>
            <w:sz w:val="28"/>
            <w:szCs w:val="28"/>
          </w:rPr>
          <w:t>(прилагается)</w:t>
        </w:r>
      </w:hyperlink>
      <w:r>
        <w:rPr>
          <w:rFonts w:eastAsia="Calibri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Настоящее Решение вступает в силу с  01 июля 2022 года.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"Муниципальном вестнике" газеты "Артинские вести" и на официальных сайтах Администрации Артинского городского округа: arti-go.ru и Думы Артинского городского округа: dumartinfo.ru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Решения возложить на постоянную депутатскую комиссию по местному самоуправлению и законности (Овчинников В.И.).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Думы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Артинского городского округа                                            А.П. Власов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Артинского городского округа                                     А.А. Константинов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/>
        <w:ind w:left="5954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Утверждены Решением Думы </w:t>
      </w:r>
    </w:p>
    <w:p>
      <w:pPr>
        <w:pStyle w:val="Normal"/>
        <w:spacing w:lineRule="auto" w:line="259"/>
        <w:ind w:left="5954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Артинского городского округа</w:t>
      </w:r>
    </w:p>
    <w:p>
      <w:pPr>
        <w:pStyle w:val="Normal"/>
        <w:spacing w:lineRule="auto" w:line="259"/>
        <w:ind w:left="5954"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         </w:t>
      </w:r>
      <w:r>
        <w:rPr>
          <w:rFonts w:eastAsia="Calibri"/>
          <w:lang w:eastAsia="en-US"/>
        </w:rPr>
        <w:t xml:space="preserve">от                 </w:t>
      </w:r>
    </w:p>
    <w:p>
      <w:pPr>
        <w:pStyle w:val="Normal"/>
        <w:spacing w:lineRule="auto" w:line="25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59" w:before="0" w:after="160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Размеры</w:t>
      </w:r>
    </w:p>
    <w:p>
      <w:pPr>
        <w:pStyle w:val="Normal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 xml:space="preserve">должностного оклада лиц, замещающих муниципальные должности </w:t>
      </w:r>
    </w:p>
    <w:p>
      <w:pPr>
        <w:pStyle w:val="Normal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Артинского городского округа на постоянной основе</w:t>
      </w:r>
    </w:p>
    <w:p>
      <w:pPr>
        <w:pStyle w:val="Normal"/>
        <w:spacing w:lineRule="auto" w:line="25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44"/>
        <w:gridCol w:w="4393"/>
      </w:tblGrid>
      <w:tr>
        <w:trPr/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ind w:left="720" w:hanging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должности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ind w:left="720" w:hanging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должностного оклада, в рублях</w:t>
            </w:r>
          </w:p>
        </w:tc>
      </w:tr>
      <w:tr>
        <w:trPr/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Артинского городского округа</w:t>
            </w:r>
          </w:p>
        </w:tc>
        <w:tc>
          <w:tcPr>
            <w:tcW w:w="4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ind w:left="720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26 255</w:t>
            </w:r>
          </w:p>
        </w:tc>
      </w:tr>
      <w:tr>
        <w:trPr/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Думы Артинского городского округа</w:t>
            </w:r>
          </w:p>
        </w:tc>
        <w:tc>
          <w:tcPr>
            <w:tcW w:w="4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ind w:left="720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26 255</w:t>
            </w:r>
          </w:p>
        </w:tc>
      </w:tr>
      <w:tr>
        <w:trPr/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0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Контрольно-счетного органа    Артинского городского округа</w:t>
            </w:r>
          </w:p>
        </w:tc>
        <w:tc>
          <w:tcPr>
            <w:tcW w:w="4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ind w:left="720" w:hang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23 854</w:t>
            </w:r>
          </w:p>
        </w:tc>
      </w:tr>
    </w:tbl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overflowPunct w:val="false"/>
        <w:jc w:val="both"/>
        <w:textAlignment w:val="baseline"/>
        <w:rPr/>
      </w:pPr>
      <w:r>
        <w:rPr/>
        <w:t xml:space="preserve">                        </w:t>
      </w:r>
    </w:p>
    <w:p>
      <w:pPr>
        <w:pStyle w:val="Normal"/>
        <w:widowControl w:val="false"/>
        <w:overflowPunct w:val="false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304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c3045"/>
    <w:pPr>
      <w:keepNext w:val="true"/>
      <w:overflowPunct w:val="false"/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c304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0c30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c3045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6z0">
    <w:name w:val="WW8Num6z0"/>
    <w:qFormat/>
    <w:rPr>
      <w:iCs/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Body Text Indent"/>
    <w:basedOn w:val="Normal"/>
    <w:link w:val="a4"/>
    <w:rsid w:val="000c3045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0c3045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Courier New"/>
      <w:color w:val="auto"/>
      <w:kern w:val="0"/>
      <w:sz w:val="16"/>
      <w:szCs w:val="24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c304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consultantplus://offline/ref=B059C157080AF04E87C2FF5276E78CFECCCB9D214982FB181A09720E6607E5D8497316C896969094CEBA79185D61343018C04C6A6266DD2DA457E138nF0CF" TargetMode="External"/><Relationship Id="rId4" Type="http://schemas.openxmlformats.org/officeDocument/2006/relationships/hyperlink" Target="consultantplus://offline/ref=B059C157080AF04E87C2E15F608BD2F4C9C0C6244982F14B435574593957E38D1B334891D5D08395C8A47B195Dn608F" TargetMode="External"/><Relationship Id="rId5" Type="http://schemas.openxmlformats.org/officeDocument/2006/relationships/hyperlink" Target="consultantplus://offline/ref=B059C157080AF04E87C2E15F608BD2F4C9C0C6244982F14B435574593957E38D1B334891D5D08395C8A47B195Dn608F" TargetMode="External"/><Relationship Id="rId6" Type="http://schemas.openxmlformats.org/officeDocument/2006/relationships/hyperlink" Target="consultantplus://offline/ref=B059C157080AF04E87C2FF5276E78CFECCCB9D214981FC181F09720E6607E5D8497316C88496C898CEB86719597462615En907F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LibreOffice/7.1.4.2$Windows_X86_64 LibreOffice_project/a529a4fab45b75fefc5b6226684193eb000654f6</Application>
  <AppVersion>15.0000</AppVersion>
  <Pages>4</Pages>
  <Words>393</Words>
  <Characters>2848</Characters>
  <CharactersWithSpaces>3471</CharactersWithSpaces>
  <Paragraphs>40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2022-06-20T11:18:00Z</dcterms:created>
  <dc:creator>Екатерина</dc:creator>
  <dc:description/>
  <dc:language>ru-RU</dc:language>
  <cp:lastModifiedBy/>
  <cp:lastPrinted>2022-06-20T11:23:30Z</cp:lastPrinted>
  <dcterms:modified xsi:type="dcterms:W3CDTF">2022-06-20T15:08:12Z</dcterms:modified>
  <cp:revision>17</cp:revision>
  <dc:subject/>
  <dc:title>Постановление Правительства Свердловской области от 30.09.2021 N 641-ПП(ред. от 25.11.2021)"Об утверждении методик, применяемых для расчета межбюджетных трансфертов из областного бюджета местным бюджетам, на 2022 год и плановый период 2023 и 2024 годов"(вместе с "Единой методикой определения уровня расчетной бюджетной обеспеченности городских поселений, сельских поселений, расположенных на территории Свердловской области", "Единой методикой определения уровня расчетной бюджетной обеспеченности муниципаль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