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5000" w:type="pct"/>
        <w:jc w:val="start"/>
        <w:tblInd w:w="-214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462"/>
        <w:gridCol w:w="789"/>
        <w:gridCol w:w="2471"/>
        <w:gridCol w:w="3916"/>
      </w:tblGrid>
      <w:tr>
        <w:trPr>
          <w:trHeight w:val="925" w:hRule="atLeast"/>
        </w:trPr>
        <w:tc>
          <w:tcPr>
            <w:tcW w:w="9638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7761" w:leader="none"/>
              </w:tabs>
              <w:overflowPunct w:val="true"/>
              <w:bidi w:val="0"/>
              <w:jc w:val="center"/>
              <w:textAlignment w:val="baseline"/>
              <w:rPr/>
            </w:pPr>
            <w:r>
              <w:rPr/>
              <w:drawing>
                <wp:inline distT="0" distB="0" distL="0" distR="0">
                  <wp:extent cx="514350" cy="590550"/>
                  <wp:effectExtent l="0" t="0" r="0" b="0"/>
                  <wp:docPr id="1" name="Рисунок 1" descr="Герб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                                            </w:t>
            </w:r>
            <w:r>
              <w:rPr>
                <w:color w:val="000000"/>
                <w:shd w:fill="FFFF00" w:val="clear"/>
              </w:rPr>
              <w:t xml:space="preserve"> </w:t>
            </w:r>
          </w:p>
          <w:p>
            <w:pPr>
              <w:pStyle w:val="Normal"/>
              <w:widowControl w:val="false"/>
              <w:overflowPunct w:val="true"/>
              <w:bidi w:val="0"/>
              <w:jc w:val="center"/>
              <w:textAlignment w:val="baselin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ДУМА</w:t>
            </w:r>
          </w:p>
        </w:tc>
      </w:tr>
      <w:tr>
        <w:trPr>
          <w:trHeight w:val="1166" w:hRule="atLeast"/>
        </w:trPr>
        <w:tc>
          <w:tcPr>
            <w:tcW w:w="9638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312" w:leader="none"/>
                <w:tab w:val="left" w:pos="1560" w:leader="none"/>
                <w:tab w:val="left" w:pos="2652" w:leader="none"/>
              </w:tabs>
              <w:overflowPunct w:val="true"/>
              <w:bidi w:val="0"/>
              <w:jc w:val="center"/>
              <w:textAlignment w:val="baselin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>
              <w:rPr>
                <w:b/>
                <w:bCs/>
                <w:color w:val="000000"/>
              </w:rPr>
              <w:t>АРТИНСКОГО ГОРОДСКОГО ОКРУГА</w:t>
            </w:r>
          </w:p>
          <w:p>
            <w:pPr>
              <w:pStyle w:val="Normal"/>
              <w:widowControl w:val="false"/>
              <w:overflowPunct w:val="true"/>
              <w:bidi w:val="0"/>
              <w:jc w:val="center"/>
              <w:textAlignment w:val="baselin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b/>
                <w:bCs/>
                <w:color w:val="000000"/>
              </w:rPr>
              <w:t>РЕШЕНИЕ</w:t>
            </w:r>
          </w:p>
        </w:tc>
      </w:tr>
      <w:tr>
        <w:trPr/>
        <w:tc>
          <w:tcPr>
            <w:tcW w:w="2462" w:type="dxa"/>
            <w:tcBorders/>
          </w:tcPr>
          <w:p>
            <w:pPr>
              <w:pStyle w:val="Normal"/>
              <w:widowControl w:val="false"/>
              <w:overflowPunct w:val="true"/>
              <w:bidi w:val="0"/>
              <w:jc w:val="start"/>
              <w:textAlignment w:val="baseline"/>
              <w:rPr/>
            </w:pPr>
            <w:r>
              <w:rPr>
                <w:color w:val="000000"/>
              </w:rPr>
              <w:t xml:space="preserve">от 29.09.2022 № 43 </w:t>
            </w:r>
          </w:p>
        </w:tc>
        <w:tc>
          <w:tcPr>
            <w:tcW w:w="3260" w:type="dxa"/>
            <w:gridSpan w:val="2"/>
            <w:tcBorders/>
          </w:tcPr>
          <w:p>
            <w:pPr>
              <w:pStyle w:val="Normal"/>
              <w:widowControl w:val="false"/>
              <w:overflowPunct w:val="true"/>
              <w:bidi w:val="0"/>
              <w:jc w:val="star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916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251" w:type="dxa"/>
            <w:gridSpan w:val="2"/>
            <w:tcBorders/>
          </w:tcPr>
          <w:p>
            <w:pPr>
              <w:pStyle w:val="Normal"/>
              <w:widowControl w:val="false"/>
              <w:overflowPunct w:val="true"/>
              <w:bidi w:val="0"/>
              <w:jc w:val="star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пгт. Арти</w:t>
            </w:r>
          </w:p>
          <w:p>
            <w:pPr>
              <w:pStyle w:val="Normal"/>
              <w:widowControl w:val="false"/>
              <w:overflowPunct w:val="true"/>
              <w:bidi w:val="0"/>
              <w:jc w:val="star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71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3916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Normal"/>
        <w:bidi w:val="0"/>
        <w:jc w:val="center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О Положении «О порядке закрепления муниципального имущества Артинского городского округа на праве оперативного управления и хозяйственного ведения за муниципальными учреждениями и муниципальными предприятиями» </w:t>
      </w:r>
    </w:p>
    <w:p>
      <w:pPr>
        <w:pStyle w:val="Normal"/>
        <w:bidi w:val="0"/>
        <w:jc w:val="center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</w:r>
    </w:p>
    <w:p>
      <w:pPr>
        <w:pStyle w:val="Normal"/>
        <w:bidi w:val="0"/>
        <w:jc w:val="center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</w:r>
    </w:p>
    <w:tbl>
      <w:tblPr>
        <w:tblW w:w="9463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463"/>
      </w:tblGrid>
      <w:tr>
        <w:trPr>
          <w:trHeight w:val="363" w:hRule="atLeast"/>
        </w:trPr>
        <w:tc>
          <w:tcPr>
            <w:tcW w:w="9463" w:type="dxa"/>
            <w:tcBorders/>
          </w:tcPr>
          <w:p>
            <w:pPr>
              <w:pStyle w:val="Normal"/>
              <w:widowControl w:val="false"/>
              <w:bidi w:val="0"/>
              <w:spacing w:lineRule="atLeast" w:line="100" w:before="120" w:after="0"/>
              <w:ind w:start="0" w:end="0" w:firstLine="270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>
                <w:bCs/>
              </w:rPr>
              <w:t xml:space="preserve">Руководствуясь </w:t>
            </w:r>
            <w:r>
              <w:rPr/>
              <w:t>Гражданским кодексом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Уставом Артинского городского округа</w:t>
            </w:r>
            <w:r>
              <w:rPr>
                <w:bCs/>
              </w:rPr>
              <w:t>, Дума Артинского городского округа</w:t>
            </w:r>
          </w:p>
          <w:p>
            <w:pPr>
              <w:pStyle w:val="Normal"/>
              <w:widowControl w:val="false"/>
              <w:bidi w:val="0"/>
              <w:spacing w:lineRule="atLeast" w:line="100" w:before="120" w:after="0"/>
              <w:ind w:start="0" w:end="0" w:firstLine="270"/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keepNext w:val="true"/>
        <w:bidi w:val="0"/>
        <w:spacing w:lineRule="atLeast" w:line="100"/>
        <w:jc w:val="start"/>
        <w:rPr>
          <w:b/>
          <w:b/>
          <w:bCs/>
        </w:rPr>
      </w:pPr>
      <w:r>
        <w:rPr>
          <w:b/>
          <w:bCs/>
        </w:rPr>
        <w:t>РЕШИЛА:</w:t>
      </w:r>
    </w:p>
    <w:p>
      <w:pPr>
        <w:pStyle w:val="Normal"/>
        <w:bidi w:val="0"/>
        <w:spacing w:lineRule="atLeast" w:line="100"/>
        <w:jc w:val="start"/>
        <w:rPr/>
      </w:pPr>
      <w:r>
        <w:rPr/>
      </w:r>
    </w:p>
    <w:p>
      <w:pPr>
        <w:pStyle w:val="ListParagraph"/>
        <w:widowControl/>
        <w:bidi w:val="0"/>
        <w:spacing w:lineRule="auto" w:line="240" w:before="0" w:after="0"/>
        <w:ind w:start="0" w:end="0" w:hanging="0"/>
        <w:contextualSpacing/>
        <w:jc w:val="both"/>
        <w:rPr/>
      </w:pPr>
      <w:r>
        <w:rPr>
          <w:color w:val="000000"/>
        </w:rPr>
        <w:t xml:space="preserve">   </w:t>
      </w:r>
      <w:r>
        <w:rPr>
          <w:color w:val="000000"/>
        </w:rPr>
        <w:t xml:space="preserve">1. Утвердить Положение </w:t>
      </w:r>
      <w:r>
        <w:rPr>
          <w:b w:val="false"/>
          <w:bCs w:val="false"/>
          <w:i w:val="false"/>
          <w:iCs w:val="false"/>
          <w:color w:val="000000"/>
        </w:rPr>
        <w:t xml:space="preserve">«О порядке закрепления муниципального имущества Артинского городского округа на праве оперативного управления и хозяйственного ведения за муниципальными учреждениями и муниципальными предприятиями» </w:t>
      </w:r>
      <w:r>
        <w:rPr>
          <w:b w:val="false"/>
          <w:bCs w:val="false"/>
          <w:i w:val="false"/>
          <w:iCs w:val="false"/>
        </w:rPr>
        <w:t xml:space="preserve"> (прилагается).</w:t>
      </w:r>
      <w:r>
        <w:rPr>
          <w:b w:val="false"/>
          <w:bCs w:val="false"/>
          <w:i w:val="false"/>
          <w:iCs w:val="false"/>
          <w:color w:val="000000"/>
        </w:rPr>
        <w:t xml:space="preserve"> </w:t>
      </w:r>
    </w:p>
    <w:p>
      <w:pPr>
        <w:pStyle w:val="ListParagraph"/>
        <w:widowControl/>
        <w:bidi w:val="0"/>
        <w:spacing w:lineRule="auto" w:line="240" w:before="0" w:after="0"/>
        <w:ind w:start="0" w:end="0" w:hanging="0"/>
        <w:contextualSpacing/>
        <w:jc w:val="both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>2.  Решение Думы Артинского городского округа от 29.03.2006г. № 17 «О Положении «О порядке закрепления муниципального имущества на праве хозяйственного ведения и оперативного управления» (в ред. Решения от 09.07.2020 г. № 31) признать утратившим силу.</w:t>
      </w:r>
    </w:p>
    <w:p>
      <w:pPr>
        <w:pStyle w:val="11"/>
        <w:widowControl w:val="false"/>
        <w:bidi w:val="0"/>
        <w:spacing w:lineRule="atLeast" w:line="100"/>
        <w:ind w:start="0" w:end="0" w:hanging="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   </w:t>
      </w:r>
      <w:r>
        <w:rPr>
          <w:rFonts w:eastAsia="Times New Roman" w:cs="Times New Roman" w:ascii="Times New Roman" w:hAnsi="Times New Roman"/>
          <w:sz w:val="24"/>
        </w:rPr>
        <w:t xml:space="preserve">3. Опубликовать настоящее Решение в «Муниципальном вестнике» газеты «Артинские вести», на официальных сайтах Администрации Артинского городского округа </w:t>
      </w:r>
      <w:r>
        <w:rPr>
          <w:rFonts w:eastAsia="Times New Roman" w:cs="Times New Roman" w:ascii="Times New Roman" w:hAnsi="Times New Roman"/>
          <w:sz w:val="24"/>
          <w:lang w:val="en-US"/>
        </w:rPr>
        <w:t>arti</w:t>
      </w:r>
      <w:r>
        <w:rPr>
          <w:rFonts w:eastAsia="Times New Roman" w:cs="Times New Roman" w:ascii="Times New Roman" w:hAnsi="Times New Roman"/>
          <w:sz w:val="24"/>
        </w:rPr>
        <w:t>-</w:t>
      </w:r>
      <w:r>
        <w:rPr>
          <w:rFonts w:eastAsia="Times New Roman" w:cs="Times New Roman" w:ascii="Times New Roman" w:hAnsi="Times New Roman"/>
          <w:sz w:val="24"/>
          <w:lang w:val="en-US"/>
        </w:rPr>
        <w:t>go</w:t>
      </w:r>
      <w:r>
        <w:rPr>
          <w:rFonts w:eastAsia="Times New Roman" w:cs="Times New Roman" w:ascii="Times New Roman" w:hAnsi="Times New Roman"/>
          <w:sz w:val="24"/>
        </w:rPr>
        <w:t>.</w:t>
      </w:r>
      <w:r>
        <w:rPr>
          <w:rFonts w:eastAsia="Times New Roman" w:cs="Times New Roman" w:ascii="Times New Roman" w:hAnsi="Times New Roman"/>
          <w:sz w:val="24"/>
          <w:lang w:val="en-US"/>
        </w:rPr>
        <w:t>ru</w:t>
      </w:r>
      <w:r>
        <w:rPr>
          <w:rFonts w:eastAsia="Times New Roman" w:cs="Times New Roman" w:ascii="Times New Roman" w:hAnsi="Times New Roman"/>
          <w:sz w:val="24"/>
        </w:rPr>
        <w:t xml:space="preserve"> и Думы Артинского городского округа </w:t>
      </w:r>
      <w:r>
        <w:rPr>
          <w:rFonts w:eastAsia="Times New Roman" w:cs="Times New Roman" w:ascii="Times New Roman" w:hAnsi="Times New Roman"/>
          <w:sz w:val="24"/>
          <w:lang w:val="en-US"/>
        </w:rPr>
        <w:t>dumartinfo</w:t>
      </w:r>
      <w:r>
        <w:rPr>
          <w:rFonts w:eastAsia="Times New Roman" w:cs="Times New Roman" w:ascii="Times New Roman" w:hAnsi="Times New Roman"/>
          <w:sz w:val="24"/>
        </w:rPr>
        <w:t>.</w:t>
      </w:r>
      <w:r>
        <w:rPr>
          <w:rFonts w:eastAsia="Times New Roman" w:cs="Times New Roman" w:ascii="Times New Roman" w:hAnsi="Times New Roman"/>
          <w:sz w:val="24"/>
          <w:lang w:val="en-US"/>
        </w:rPr>
        <w:t>ru</w:t>
      </w:r>
      <w:r>
        <w:rPr>
          <w:rFonts w:eastAsia="Times New Roman" w:cs="Times New Roman" w:ascii="Times New Roman" w:hAnsi="Times New Roman"/>
          <w:sz w:val="24"/>
        </w:rPr>
        <w:t xml:space="preserve">.         </w:t>
      </w:r>
    </w:p>
    <w:p>
      <w:pPr>
        <w:pStyle w:val="11"/>
        <w:widowControl w:val="false"/>
        <w:bidi w:val="0"/>
        <w:spacing w:lineRule="atLeast" w:line="100"/>
        <w:ind w:start="0" w:end="0" w:hanging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     </w:t>
      </w:r>
      <w:r>
        <w:rPr>
          <w:rFonts w:eastAsia="Times New Roman" w:cs="Times New Roman" w:ascii="Times New Roman" w:hAnsi="Times New Roman"/>
          <w:sz w:val="24"/>
        </w:rPr>
        <w:t xml:space="preserve">4. Контроль исполнения настоящего Решения возложить на депутатскую комиссию по местному самоуправлению и законности (Овчинников В.И.). </w:t>
      </w:r>
    </w:p>
    <w:p>
      <w:pPr>
        <w:pStyle w:val="11"/>
        <w:widowControl w:val="false"/>
        <w:bidi w:val="0"/>
        <w:spacing w:lineRule="atLeast" w:line="100"/>
        <w:ind w:start="851" w:end="0" w:hanging="851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11"/>
        <w:widowControl w:val="false"/>
        <w:bidi w:val="0"/>
        <w:spacing w:lineRule="atLeast" w:line="100"/>
        <w:ind w:start="0" w:end="0"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11"/>
        <w:widowControl w:val="false"/>
        <w:bidi w:val="0"/>
        <w:spacing w:lineRule="atLeast" w:line="100"/>
        <w:ind w:start="0" w:end="0"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11"/>
        <w:widowControl w:val="false"/>
        <w:bidi w:val="0"/>
        <w:spacing w:lineRule="atLeast" w:line="100"/>
        <w:ind w:start="0" w:end="0"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bidi w:val="0"/>
        <w:jc w:val="start"/>
        <w:rPr/>
      </w:pPr>
      <w:r>
        <w:rPr/>
        <w:t xml:space="preserve">Председатель Думы </w:t>
      </w:r>
    </w:p>
    <w:p>
      <w:pPr>
        <w:pStyle w:val="Normal"/>
        <w:bidi w:val="0"/>
        <w:jc w:val="start"/>
        <w:rPr/>
      </w:pPr>
      <w:r>
        <w:rPr/>
        <w:t>Артинского городского округа                                                                   А.П. Власов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1"/>
        <w:widowControl/>
        <w:bidi w:val="0"/>
        <w:ind w:start="0" w:end="0" w:hanging="0"/>
        <w:jc w:val="start"/>
        <w:rPr>
          <w:szCs w:val="24"/>
        </w:rPr>
      </w:pPr>
      <w:r>
        <w:rPr>
          <w:szCs w:val="24"/>
        </w:rPr>
        <w:t>Глава Артинского городского округа                                                         А.А. Константинов</w:t>
      </w:r>
    </w:p>
    <w:p>
      <w:pPr>
        <w:pStyle w:val="Normal"/>
        <w:widowControl/>
        <w:bidi w:val="0"/>
        <w:ind w:start="0" w:end="0" w:hanging="0"/>
        <w:jc w:val="start"/>
        <w:rPr>
          <w:szCs w:val="24"/>
        </w:rPr>
      </w:pPr>
      <w:r>
        <w:rPr>
          <w:szCs w:val="24"/>
        </w:rPr>
      </w:r>
    </w:p>
    <w:p>
      <w:pPr>
        <w:pStyle w:val="Normal"/>
        <w:widowControl/>
        <w:bidi w:val="0"/>
        <w:ind w:start="0" w:end="0" w:hanging="0"/>
        <w:jc w:val="start"/>
        <w:rPr>
          <w:szCs w:val="24"/>
        </w:rPr>
      </w:pPr>
      <w:r>
        <w:rPr>
          <w:szCs w:val="24"/>
        </w:rPr>
      </w:r>
    </w:p>
    <w:p>
      <w:pPr>
        <w:pStyle w:val="Normal"/>
        <w:widowControl/>
        <w:bidi w:val="0"/>
        <w:ind w:start="0" w:end="0" w:hanging="0"/>
        <w:jc w:val="start"/>
        <w:rPr>
          <w:szCs w:val="24"/>
        </w:rPr>
      </w:pPr>
      <w:r>
        <w:rPr>
          <w:szCs w:val="24"/>
        </w:rPr>
      </w:r>
    </w:p>
    <w:p>
      <w:pPr>
        <w:pStyle w:val="Normal"/>
        <w:widowControl/>
        <w:bidi w:val="0"/>
        <w:ind w:start="0" w:end="0" w:hanging="0"/>
        <w:jc w:val="start"/>
        <w:rPr>
          <w:szCs w:val="24"/>
        </w:rPr>
      </w:pPr>
      <w:r>
        <w:rPr>
          <w:szCs w:val="24"/>
        </w:rPr>
      </w:r>
    </w:p>
    <w:p>
      <w:pPr>
        <w:pStyle w:val="Normal"/>
        <w:widowControl/>
        <w:bidi w:val="0"/>
        <w:ind w:start="0" w:end="0" w:hanging="0"/>
        <w:jc w:val="start"/>
        <w:rPr>
          <w:szCs w:val="24"/>
        </w:rPr>
      </w:pPr>
      <w:r>
        <w:rPr>
          <w:szCs w:val="24"/>
        </w:rPr>
      </w:r>
    </w:p>
    <w:p>
      <w:pPr>
        <w:pStyle w:val="Normal"/>
        <w:widowControl/>
        <w:bidi w:val="0"/>
        <w:ind w:start="0" w:end="0" w:hanging="0"/>
        <w:jc w:val="start"/>
        <w:rPr>
          <w:szCs w:val="24"/>
        </w:rPr>
      </w:pPr>
      <w:r>
        <w:rPr>
          <w:szCs w:val="24"/>
        </w:rPr>
      </w:r>
    </w:p>
    <w:p>
      <w:pPr>
        <w:pStyle w:val="Normal"/>
        <w:bidi w:val="0"/>
        <w:spacing w:lineRule="atLeast" w:line="100"/>
        <w:jc w:val="center"/>
        <w:rPr>
          <w:b/>
          <w:b/>
        </w:rPr>
      </w:pPr>
      <w:r>
        <w:rPr>
          <w:b/>
        </w:rPr>
        <w:t>С О Г Л А С О В А Н И Е</w:t>
      </w:r>
    </w:p>
    <w:p>
      <w:pPr>
        <w:pStyle w:val="Normal"/>
        <w:bidi w:val="0"/>
        <w:spacing w:lineRule="atLeast" w:line="100"/>
        <w:jc w:val="center"/>
        <w:rPr/>
      </w:pPr>
      <w:r>
        <w:rPr/>
        <w:t>Решения Думы Артинского городского округа</w:t>
      </w:r>
    </w:p>
    <w:p>
      <w:pPr>
        <w:pStyle w:val="Normal"/>
        <w:bidi w:val="0"/>
        <w:jc w:val="center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О Положении «О порядке закрепления муниципального имущества Артинского городского округа на праве оперативного управления и хозяйственного ведения за муниципальными учреждениями и муниципальными предприятиями» </w:t>
      </w:r>
    </w:p>
    <w:p>
      <w:pPr>
        <w:pStyle w:val="Normal"/>
        <w:bidi w:val="0"/>
        <w:jc w:val="center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</w:r>
    </w:p>
    <w:tbl>
      <w:tblPr>
        <w:tblW w:w="9612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375"/>
        <w:gridCol w:w="1865"/>
        <w:gridCol w:w="1135"/>
        <w:gridCol w:w="2651"/>
        <w:gridCol w:w="1586"/>
      </w:tblGrid>
      <w:tr>
        <w:trPr>
          <w:trHeight w:val="363" w:hRule="atLeast"/>
        </w:trPr>
        <w:tc>
          <w:tcPr>
            <w:tcW w:w="2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center"/>
              <w:rPr>
                <w:szCs w:val="20"/>
              </w:rPr>
            </w:pPr>
            <w:r>
              <w:rPr>
                <w:szCs w:val="20"/>
              </w:rPr>
              <w:t>Должность</w:t>
            </w:r>
          </w:p>
        </w:tc>
        <w:tc>
          <w:tcPr>
            <w:tcW w:w="18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center"/>
              <w:rPr>
                <w:szCs w:val="20"/>
              </w:rPr>
            </w:pPr>
            <w:r>
              <w:rPr>
                <w:szCs w:val="20"/>
              </w:rPr>
              <w:t>Фамилия и</w:t>
            </w:r>
          </w:p>
          <w:p>
            <w:pPr>
              <w:pStyle w:val="Normal"/>
              <w:widowControl w:val="false"/>
              <w:bidi w:val="0"/>
              <w:spacing w:lineRule="atLeast" w:line="100"/>
              <w:jc w:val="center"/>
              <w:rPr>
                <w:szCs w:val="20"/>
              </w:rPr>
            </w:pPr>
            <w:r>
              <w:rPr>
                <w:szCs w:val="20"/>
              </w:rPr>
              <w:t>инициалы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center"/>
              <w:rPr>
                <w:szCs w:val="20"/>
              </w:rPr>
            </w:pPr>
            <w:r>
              <w:rPr>
                <w:szCs w:val="20"/>
              </w:rPr>
              <w:t>Сроки и результаты согласования</w:t>
            </w:r>
          </w:p>
        </w:tc>
      </w:tr>
      <w:tr>
        <w:trPr>
          <w:trHeight w:val="363" w:hRule="atLeast"/>
        </w:trPr>
        <w:tc>
          <w:tcPr>
            <w:tcW w:w="2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8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center"/>
              <w:rPr>
                <w:szCs w:val="20"/>
              </w:rPr>
            </w:pPr>
            <w:r>
              <w:rPr>
                <w:szCs w:val="20"/>
              </w:rPr>
              <w:t>Дата</w:t>
            </w:r>
          </w:p>
        </w:tc>
        <w:tc>
          <w:tcPr>
            <w:tcW w:w="26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center"/>
              <w:rPr>
                <w:szCs w:val="20"/>
              </w:rPr>
            </w:pPr>
            <w:r>
              <w:rPr>
                <w:szCs w:val="20"/>
              </w:rPr>
              <w:t>Замечания</w:t>
            </w:r>
          </w:p>
        </w:tc>
        <w:tc>
          <w:tcPr>
            <w:tcW w:w="15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center"/>
              <w:rPr>
                <w:szCs w:val="20"/>
              </w:rPr>
            </w:pPr>
            <w:r>
              <w:rPr>
                <w:szCs w:val="20"/>
              </w:rPr>
              <w:t>Подпись</w:t>
            </w:r>
          </w:p>
        </w:tc>
      </w:tr>
      <w:tr>
        <w:trPr>
          <w:trHeight w:val="363" w:hRule="atLeast"/>
        </w:trPr>
        <w:tc>
          <w:tcPr>
            <w:tcW w:w="2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start"/>
              <w:rPr>
                <w:szCs w:val="20"/>
              </w:rPr>
            </w:pPr>
            <w:r>
              <w:rPr>
                <w:szCs w:val="20"/>
              </w:rPr>
              <w:t>Зав. юридическим отделом Администрации АГО</w:t>
            </w:r>
          </w:p>
        </w:tc>
        <w:tc>
          <w:tcPr>
            <w:tcW w:w="18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start"/>
              <w:rPr>
                <w:szCs w:val="20"/>
              </w:rPr>
            </w:pPr>
            <w:r>
              <w:rPr>
                <w:szCs w:val="20"/>
              </w:rPr>
              <w:t>Редких О.М.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start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26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start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5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start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363" w:hRule="atLeast"/>
        </w:trPr>
        <w:tc>
          <w:tcPr>
            <w:tcW w:w="237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start"/>
              <w:rPr/>
            </w:pPr>
            <w:r>
              <w:rPr>
                <w:szCs w:val="20"/>
              </w:rPr>
              <w:t>Председатель КУИ Администрации АГО</w:t>
            </w:r>
          </w:p>
        </w:tc>
        <w:tc>
          <w:tcPr>
            <w:tcW w:w="186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start"/>
              <w:rPr>
                <w:szCs w:val="20"/>
              </w:rPr>
            </w:pPr>
            <w:r>
              <w:rPr>
                <w:szCs w:val="20"/>
              </w:rPr>
              <w:t>Акулова Н.И.</w:t>
            </w:r>
          </w:p>
        </w:tc>
        <w:tc>
          <w:tcPr>
            <w:tcW w:w="11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start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265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start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start"/>
              <w:rPr>
                <w:szCs w:val="20"/>
              </w:rPr>
            </w:pPr>
            <w:r>
              <w:rPr>
                <w:szCs w:val="20"/>
              </w:rPr>
            </w:r>
          </w:p>
        </w:tc>
      </w:tr>
    </w:tbl>
    <w:p>
      <w:pPr>
        <w:pStyle w:val="Normal"/>
        <w:tabs>
          <w:tab w:val="clear" w:pos="709"/>
          <w:tab w:val="left" w:pos="1380" w:leader="none"/>
        </w:tabs>
        <w:bidi w:val="0"/>
        <w:spacing w:lineRule="atLeast" w:line="100"/>
        <w:jc w:val="start"/>
        <w:rPr/>
      </w:pPr>
      <w:r>
        <w:rPr/>
        <w:tab/>
      </w:r>
    </w:p>
    <w:p>
      <w:pPr>
        <w:pStyle w:val="Normal"/>
        <w:bidi w:val="0"/>
        <w:spacing w:lineRule="atLeast" w:line="100"/>
        <w:jc w:val="start"/>
        <w:rPr/>
      </w:pPr>
      <w:r>
        <w:rPr/>
      </w:r>
    </w:p>
    <w:p>
      <w:pPr>
        <w:pStyle w:val="Normal"/>
        <w:bidi w:val="0"/>
        <w:spacing w:lineRule="atLeast" w:line="100"/>
        <w:jc w:val="start"/>
        <w:rPr/>
      </w:pPr>
      <w:r>
        <w:rPr/>
      </w:r>
    </w:p>
    <w:p>
      <w:pPr>
        <w:pStyle w:val="Normal"/>
        <w:bidi w:val="0"/>
        <w:spacing w:lineRule="atLeast" w:line="100"/>
        <w:jc w:val="start"/>
        <w:rPr/>
      </w:pPr>
      <w:r>
        <w:rPr/>
      </w:r>
    </w:p>
    <w:p>
      <w:pPr>
        <w:pStyle w:val="Normal"/>
        <w:tabs>
          <w:tab w:val="clear" w:pos="709"/>
          <w:tab w:val="left" w:pos="6162" w:leader="none"/>
        </w:tabs>
        <w:bidi w:val="0"/>
        <w:jc w:val="start"/>
        <w:rPr>
          <w:color w:val="000000"/>
        </w:rPr>
      </w:pPr>
      <w:r>
        <w:rPr>
          <w:color w:val="000000"/>
        </w:rPr>
        <w:t>Разослано:    4   экз.</w:t>
      </w:r>
    </w:p>
    <w:p>
      <w:pPr>
        <w:pStyle w:val="Normal"/>
        <w:tabs>
          <w:tab w:val="clear" w:pos="709"/>
          <w:tab w:val="left" w:pos="6162" w:leader="none"/>
        </w:tabs>
        <w:bidi w:val="0"/>
        <w:jc w:val="start"/>
        <w:rPr>
          <w:color w:val="000000"/>
        </w:rPr>
      </w:pPr>
      <w:r>
        <w:rPr>
          <w:color w:val="000000"/>
        </w:rPr>
        <w:t>Дума - 1</w:t>
      </w:r>
    </w:p>
    <w:p>
      <w:pPr>
        <w:pStyle w:val="Normal"/>
        <w:tabs>
          <w:tab w:val="clear" w:pos="709"/>
          <w:tab w:val="left" w:pos="6162" w:leader="none"/>
        </w:tabs>
        <w:bidi w:val="0"/>
        <w:jc w:val="start"/>
        <w:rPr>
          <w:color w:val="000000"/>
        </w:rPr>
      </w:pPr>
      <w:r>
        <w:rPr>
          <w:color w:val="000000"/>
        </w:rPr>
        <w:t xml:space="preserve">Юр. отдел – 1 </w:t>
      </w:r>
    </w:p>
    <w:p>
      <w:pPr>
        <w:pStyle w:val="Normal"/>
        <w:tabs>
          <w:tab w:val="clear" w:pos="709"/>
          <w:tab w:val="left" w:pos="6162" w:leader="none"/>
        </w:tabs>
        <w:bidi w:val="0"/>
        <w:jc w:val="start"/>
        <w:rPr>
          <w:color w:val="000000"/>
        </w:rPr>
      </w:pPr>
      <w:r>
        <w:rPr>
          <w:color w:val="000000"/>
        </w:rPr>
        <w:t>КУИ – 1</w:t>
      </w:r>
    </w:p>
    <w:p>
      <w:pPr>
        <w:pStyle w:val="Normal"/>
        <w:tabs>
          <w:tab w:val="clear" w:pos="709"/>
          <w:tab w:val="left" w:pos="6162" w:leader="none"/>
        </w:tabs>
        <w:bidi w:val="0"/>
        <w:jc w:val="start"/>
        <w:rPr>
          <w:color w:val="000000"/>
        </w:rPr>
      </w:pPr>
      <w:r>
        <w:rPr>
          <w:color w:val="000000"/>
        </w:rPr>
        <w:t>Прокуратура – 1</w:t>
      </w:r>
    </w:p>
    <w:p>
      <w:pPr>
        <w:pStyle w:val="Normal"/>
        <w:tabs>
          <w:tab w:val="clear" w:pos="709"/>
          <w:tab w:val="left" w:pos="6162" w:leader="none"/>
        </w:tabs>
        <w:bidi w:val="0"/>
        <w:jc w:val="start"/>
        <w:rPr>
          <w:color w:val="000000"/>
        </w:rPr>
      </w:pPr>
      <w:r>
        <w:rPr>
          <w:color w:val="000000"/>
        </w:rPr>
        <w:t>Газета «Артинские вести»</w:t>
      </w:r>
    </w:p>
    <w:p>
      <w:pPr>
        <w:pStyle w:val="Normal"/>
        <w:tabs>
          <w:tab w:val="clear" w:pos="709"/>
          <w:tab w:val="left" w:pos="6162" w:leader="none"/>
        </w:tabs>
        <w:bidi w:val="0"/>
        <w:jc w:val="star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6162" w:leader="none"/>
        </w:tabs>
        <w:bidi w:val="0"/>
        <w:jc w:val="star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6162" w:leader="none"/>
        </w:tabs>
        <w:bidi w:val="0"/>
        <w:jc w:val="star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6162" w:leader="none"/>
        </w:tabs>
        <w:bidi w:val="0"/>
        <w:jc w:val="start"/>
        <w:rPr>
          <w:color w:val="000000"/>
        </w:rPr>
      </w:pPr>
      <w:r>
        <w:rPr>
          <w:color w:val="000000"/>
        </w:rPr>
        <w:t>Исп.: Банникова Н.А.</w:t>
      </w:r>
    </w:p>
    <w:p>
      <w:pPr>
        <w:pStyle w:val="Normal"/>
        <w:tabs>
          <w:tab w:val="clear" w:pos="709"/>
          <w:tab w:val="left" w:pos="6162" w:leader="none"/>
        </w:tabs>
        <w:bidi w:val="0"/>
        <w:jc w:val="start"/>
        <w:rPr>
          <w:color w:val="000000"/>
        </w:rPr>
      </w:pPr>
      <w:r>
        <w:rPr>
          <w:color w:val="000000"/>
        </w:rPr>
        <w:t>Тел.: 2-11-46</w:t>
      </w:r>
      <w:bookmarkStart w:id="0" w:name="_GoBack"/>
      <w:bookmarkEnd w:id="0"/>
    </w:p>
    <w:p>
      <w:pPr>
        <w:pStyle w:val="Normal"/>
        <w:bidi w:val="0"/>
        <w:spacing w:lineRule="atLeast" w:line="100"/>
        <w:jc w:val="start"/>
        <w:rPr/>
      </w:pPr>
      <w:r>
        <w:rPr/>
      </w:r>
    </w:p>
    <w:p>
      <w:pPr>
        <w:pStyle w:val="Normal"/>
        <w:bidi w:val="0"/>
        <w:spacing w:lineRule="atLeast" w:line="100"/>
        <w:ind w:start="0" w:end="0" w:firstLine="540"/>
        <w:jc w:val="both"/>
        <w:rPr/>
      </w:pPr>
      <w:r>
        <w:rPr/>
      </w:r>
    </w:p>
    <w:p>
      <w:pPr>
        <w:pStyle w:val="Normal"/>
        <w:bidi w:val="0"/>
        <w:spacing w:lineRule="atLeast" w:line="100"/>
        <w:ind w:start="0" w:end="0" w:firstLine="540"/>
        <w:jc w:val="both"/>
        <w:rPr/>
      </w:pPr>
      <w:r>
        <w:rPr/>
      </w:r>
    </w:p>
    <w:p>
      <w:pPr>
        <w:pStyle w:val="Normal"/>
        <w:bidi w:val="0"/>
        <w:spacing w:lineRule="atLeast" w:line="100"/>
        <w:ind w:start="0" w:end="0" w:firstLine="540"/>
        <w:jc w:val="both"/>
        <w:rPr/>
      </w:pPr>
      <w:r>
        <w:rPr/>
      </w:r>
    </w:p>
    <w:p>
      <w:pPr>
        <w:pStyle w:val="Normal"/>
        <w:bidi w:val="0"/>
        <w:spacing w:lineRule="atLeast" w:line="100"/>
        <w:ind w:start="0" w:end="0" w:firstLine="540"/>
        <w:jc w:val="both"/>
        <w:rPr/>
      </w:pPr>
      <w:r>
        <w:rPr/>
      </w:r>
    </w:p>
    <w:p>
      <w:pPr>
        <w:pStyle w:val="Normal"/>
        <w:bidi w:val="0"/>
        <w:spacing w:lineRule="atLeast" w:line="100"/>
        <w:ind w:start="0" w:end="0" w:firstLine="540"/>
        <w:jc w:val="both"/>
        <w:rPr/>
      </w:pPr>
      <w:r>
        <w:rPr/>
      </w:r>
    </w:p>
    <w:p>
      <w:pPr>
        <w:pStyle w:val="Normal"/>
        <w:bidi w:val="0"/>
        <w:spacing w:lineRule="atLeast" w:line="100"/>
        <w:ind w:start="0" w:end="0" w:firstLine="540"/>
        <w:jc w:val="both"/>
        <w:rPr/>
      </w:pPr>
      <w:r>
        <w:rPr/>
      </w:r>
    </w:p>
    <w:p>
      <w:pPr>
        <w:pStyle w:val="Normal"/>
        <w:bidi w:val="0"/>
        <w:spacing w:lineRule="atLeast" w:line="100"/>
        <w:ind w:start="0" w:end="0" w:firstLine="540"/>
        <w:jc w:val="both"/>
        <w:rPr/>
      </w:pPr>
      <w:r>
        <w:rPr/>
      </w:r>
    </w:p>
    <w:p>
      <w:pPr>
        <w:pStyle w:val="Normal"/>
        <w:bidi w:val="0"/>
        <w:spacing w:lineRule="atLeast" w:line="100"/>
        <w:ind w:start="0" w:end="0" w:firstLine="540"/>
        <w:jc w:val="both"/>
        <w:rPr/>
      </w:pPr>
      <w:r>
        <w:rPr/>
      </w:r>
    </w:p>
    <w:p>
      <w:pPr>
        <w:pStyle w:val="Normal"/>
        <w:bidi w:val="0"/>
        <w:spacing w:lineRule="atLeast" w:line="100"/>
        <w:ind w:start="0" w:end="0" w:firstLine="540"/>
        <w:jc w:val="both"/>
        <w:rPr/>
      </w:pPr>
      <w:r>
        <w:rPr/>
      </w:r>
    </w:p>
    <w:p>
      <w:pPr>
        <w:pStyle w:val="Normal"/>
        <w:bidi w:val="0"/>
        <w:spacing w:lineRule="atLeast" w:line="100"/>
        <w:ind w:start="0" w:end="0" w:firstLine="540"/>
        <w:jc w:val="both"/>
        <w:rPr/>
      </w:pPr>
      <w:r>
        <w:rPr/>
      </w:r>
    </w:p>
    <w:p>
      <w:pPr>
        <w:pStyle w:val="Normal"/>
        <w:bidi w:val="0"/>
        <w:spacing w:lineRule="atLeast" w:line="100"/>
        <w:ind w:start="0" w:end="0" w:firstLine="540"/>
        <w:jc w:val="both"/>
        <w:rPr/>
      </w:pPr>
      <w:r>
        <w:rPr/>
      </w:r>
    </w:p>
    <w:p>
      <w:pPr>
        <w:pStyle w:val="Normal"/>
        <w:bidi w:val="0"/>
        <w:spacing w:lineRule="atLeast" w:line="100"/>
        <w:ind w:start="0" w:end="0" w:firstLine="540"/>
        <w:jc w:val="both"/>
        <w:rPr/>
      </w:pPr>
      <w:r>
        <w:rPr/>
      </w:r>
    </w:p>
    <w:p>
      <w:pPr>
        <w:pStyle w:val="Normal"/>
        <w:bidi w:val="0"/>
        <w:spacing w:lineRule="atLeast" w:line="100"/>
        <w:ind w:start="0" w:end="0" w:firstLine="540"/>
        <w:jc w:val="both"/>
        <w:rPr/>
      </w:pPr>
      <w:r>
        <w:rPr/>
      </w:r>
    </w:p>
    <w:p>
      <w:pPr>
        <w:pStyle w:val="Normal"/>
        <w:bidi w:val="0"/>
        <w:spacing w:lineRule="atLeast" w:line="100"/>
        <w:ind w:start="0" w:end="0" w:firstLine="540"/>
        <w:jc w:val="both"/>
        <w:rPr/>
      </w:pPr>
      <w:r>
        <w:rPr/>
      </w:r>
    </w:p>
    <w:p>
      <w:pPr>
        <w:pStyle w:val="Normal"/>
        <w:bidi w:val="0"/>
        <w:spacing w:lineRule="atLeast" w:line="100"/>
        <w:ind w:start="0" w:end="0" w:firstLine="540"/>
        <w:jc w:val="both"/>
        <w:rPr/>
      </w:pPr>
      <w:r>
        <w:rPr/>
      </w:r>
    </w:p>
    <w:p>
      <w:pPr>
        <w:pStyle w:val="Normal"/>
        <w:bidi w:val="0"/>
        <w:spacing w:lineRule="atLeast" w:line="100"/>
        <w:ind w:start="0" w:end="0" w:firstLine="540"/>
        <w:jc w:val="both"/>
        <w:rPr/>
      </w:pPr>
      <w:r>
        <w:rPr/>
      </w:r>
    </w:p>
    <w:p>
      <w:pPr>
        <w:pStyle w:val="Normal"/>
        <w:bidi w:val="0"/>
        <w:spacing w:lineRule="atLeast" w:line="100"/>
        <w:ind w:start="0" w:end="0" w:firstLine="540"/>
        <w:jc w:val="both"/>
        <w:rPr/>
      </w:pPr>
      <w:r>
        <w:rPr/>
      </w:r>
    </w:p>
    <w:p>
      <w:pPr>
        <w:pStyle w:val="Normal"/>
        <w:bidi w:val="0"/>
        <w:spacing w:lineRule="atLeast" w:line="100"/>
        <w:ind w:start="0" w:end="0" w:firstLine="540"/>
        <w:jc w:val="both"/>
        <w:rPr/>
      </w:pPr>
      <w:r>
        <w:rPr/>
      </w:r>
    </w:p>
    <w:p>
      <w:pPr>
        <w:pStyle w:val="Normal"/>
        <w:bidi w:val="0"/>
        <w:spacing w:lineRule="atLeast" w:line="100"/>
        <w:ind w:start="0" w:end="0" w:firstLine="540"/>
        <w:jc w:val="both"/>
        <w:rPr/>
      </w:pPr>
      <w:r>
        <w:rPr/>
      </w:r>
    </w:p>
    <w:p>
      <w:pPr>
        <w:pStyle w:val="Normal"/>
        <w:bidi w:val="0"/>
        <w:spacing w:lineRule="atLeast" w:line="100"/>
        <w:ind w:start="0" w:end="0" w:firstLine="540"/>
        <w:jc w:val="both"/>
        <w:rPr/>
      </w:pPr>
      <w:r>
        <w:rPr/>
      </w:r>
    </w:p>
    <w:p>
      <w:pPr>
        <w:pStyle w:val="Normal"/>
        <w:tabs>
          <w:tab w:val="clear" w:pos="709"/>
          <w:tab w:val="left" w:pos="11908" w:leader="none"/>
        </w:tabs>
        <w:bidi w:val="0"/>
        <w:spacing w:lineRule="atLeast" w:line="240"/>
        <w:ind w:start="5812" w:end="0" w:hanging="0"/>
        <w:jc w:val="start"/>
        <w:rPr/>
      </w:pPr>
      <w:r>
        <w:rPr>
          <w:color w:val="000000"/>
        </w:rPr>
        <w:t xml:space="preserve">Приложение                                                                                  Утверждено Решением Думы                                                                                     Артинского городского округа                                                                      </w:t>
      </w:r>
      <w:r>
        <w:rPr>
          <w:color w:val="000000"/>
          <w:shd w:fill="auto" w:val="clear"/>
        </w:rPr>
        <w:t xml:space="preserve">от 29.09.2022 № 43 </w:t>
      </w:r>
    </w:p>
    <w:p>
      <w:pPr>
        <w:pStyle w:val="Normal"/>
        <w:tabs>
          <w:tab w:val="clear" w:pos="709"/>
          <w:tab w:val="left" w:pos="9636" w:leader="none"/>
        </w:tabs>
        <w:bidi w:val="0"/>
        <w:ind w:start="3540" w:end="0" w:firstLine="708"/>
        <w:jc w:val="start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 w:val="false"/>
        <w:bidi w:val="0"/>
        <w:jc w:val="center"/>
        <w:rPr>
          <w:b/>
          <w:b/>
          <w:bCs/>
        </w:rPr>
      </w:pPr>
      <w:r>
        <w:rPr>
          <w:b/>
          <w:bCs/>
        </w:rPr>
        <w:t>ПОЛОЖЕНИЕ</w:t>
      </w:r>
    </w:p>
    <w:p>
      <w:pPr>
        <w:pStyle w:val="Normal"/>
        <w:bidi w:val="0"/>
        <w:jc w:val="center"/>
        <w:rPr>
          <w:b/>
          <w:b/>
          <w:bCs/>
          <w:i w:val="false"/>
          <w:i w:val="false"/>
          <w:iCs w:val="false"/>
          <w:color w:val="000000"/>
        </w:rPr>
      </w:pPr>
      <w:r>
        <w:rPr>
          <w:b/>
          <w:bCs/>
          <w:i w:val="false"/>
          <w:iCs w:val="false"/>
          <w:color w:val="000000"/>
        </w:rPr>
        <w:t xml:space="preserve">«О Положении «О порядке закрепления муниципального имущества Артинского городского округа на праве оперативного управления и хозяйственного ведения за муниципальными учреждениями и муниципальными предприятиями»   </w:t>
      </w:r>
    </w:p>
    <w:p>
      <w:pPr>
        <w:pStyle w:val="ConsPlusNormal"/>
        <w:numPr>
          <w:ilvl w:val="0"/>
          <w:numId w:val="0"/>
        </w:numPr>
        <w:spacing w:lineRule="auto" w:line="276"/>
        <w:ind w:start="0" w:end="0" w:hanging="0"/>
        <w:jc w:val="center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spacing w:lineRule="auto" w:line="276"/>
        <w:ind w:start="0" w:end="0" w:hanging="0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Общие положения</w:t>
      </w:r>
    </w:p>
    <w:p>
      <w:pPr>
        <w:pStyle w:val="ConsPlusNormal"/>
        <w:spacing w:lineRule="auto" w:line="276"/>
        <w:jc w:val="both"/>
        <w:rPr/>
      </w:pPr>
      <w:r>
        <w:rPr/>
      </w:r>
    </w:p>
    <w:p>
      <w:pPr>
        <w:pStyle w:val="ConsPlusNormal"/>
        <w:spacing w:lineRule="auto" w:line="276"/>
        <w:ind w:start="0" w:end="0" w:firstLine="540"/>
        <w:jc w:val="both"/>
        <w:rPr/>
      </w:pPr>
      <w:r>
        <w:rPr>
          <w:sz w:val="24"/>
          <w:szCs w:val="24"/>
        </w:rPr>
        <w:t xml:space="preserve">1.1. Настоящее Положение разработано в соответствии с Гражданским </w:t>
      </w:r>
      <w:hyperlink r:id="rId3">
        <w:r>
          <w:rPr>
            <w:color w:val="0000FF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Федерации, Жилищным </w:t>
      </w:r>
      <w:hyperlink r:id="rId4">
        <w:r>
          <w:rPr>
            <w:color w:val="0000FF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Федерации, Бюджетным </w:t>
      </w:r>
      <w:hyperlink r:id="rId5">
        <w:r>
          <w:rPr>
            <w:color w:val="0000FF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Федерации, Налоговым </w:t>
      </w:r>
      <w:hyperlink r:id="rId6">
        <w:r>
          <w:rPr>
            <w:color w:val="0000FF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Федерации, Федеральными законами от 06.10.2003 г. №</w:t>
      </w:r>
      <w:hyperlink r:id="rId7">
        <w:r>
          <w:rPr>
            <w:color w:val="0000FF"/>
            <w:sz w:val="24"/>
            <w:szCs w:val="24"/>
          </w:rPr>
          <w:t xml:space="preserve"> 131-ФЗ</w:t>
        </w:r>
      </w:hyperlink>
      <w:r>
        <w:rPr>
          <w:sz w:val="24"/>
          <w:szCs w:val="24"/>
        </w:rPr>
        <w:t xml:space="preserve"> "Об общих принципах организации местного самоуправления в Российской Федерации", от 14.11.2002 г. №</w:t>
      </w:r>
      <w:hyperlink r:id="rId8">
        <w:r>
          <w:rPr>
            <w:color w:val="0000FF"/>
            <w:sz w:val="24"/>
            <w:szCs w:val="24"/>
          </w:rPr>
          <w:t xml:space="preserve"> 161-ФЗ</w:t>
        </w:r>
      </w:hyperlink>
      <w:r>
        <w:rPr>
          <w:sz w:val="24"/>
          <w:szCs w:val="24"/>
        </w:rPr>
        <w:t xml:space="preserve"> "О государственных и муниципальных унитарных предприятиях", от 12.01.1996 г. №</w:t>
      </w:r>
      <w:hyperlink r:id="rId9">
        <w:r>
          <w:rPr>
            <w:color w:val="0000FF"/>
            <w:sz w:val="24"/>
            <w:szCs w:val="24"/>
          </w:rPr>
          <w:t xml:space="preserve"> 7-ФЗ</w:t>
        </w:r>
      </w:hyperlink>
      <w:r>
        <w:rPr>
          <w:sz w:val="24"/>
          <w:szCs w:val="24"/>
        </w:rPr>
        <w:t xml:space="preserve"> "О некоммерческих организациях", от 03.11.2006 г. №</w:t>
      </w:r>
      <w:hyperlink r:id="rId10">
        <w:r>
          <w:rPr>
            <w:color w:val="0000FF"/>
            <w:sz w:val="24"/>
            <w:szCs w:val="24"/>
          </w:rPr>
          <w:t xml:space="preserve"> 174-ФЗ</w:t>
        </w:r>
      </w:hyperlink>
      <w:r>
        <w:rPr>
          <w:sz w:val="24"/>
          <w:szCs w:val="24"/>
        </w:rPr>
        <w:t xml:space="preserve"> "Об автономных учреждениях", от </w:t>
      </w:r>
      <w:r>
        <w:rPr>
          <w:sz w:val="24"/>
          <w:szCs w:val="24"/>
          <w:lang w:val="en-US"/>
        </w:rPr>
        <w:t>13.07.2015</w:t>
      </w:r>
      <w:r>
        <w:rPr>
          <w:sz w:val="24"/>
          <w:szCs w:val="24"/>
        </w:rPr>
        <w:t xml:space="preserve"> г. №</w:t>
      </w:r>
      <w:hyperlink r:id="rId11">
        <w:r>
          <w:rPr>
            <w:color w:val="0000FF"/>
            <w:sz w:val="24"/>
            <w:szCs w:val="24"/>
          </w:rPr>
          <w:t xml:space="preserve"> 218-ФЗ</w:t>
        </w:r>
      </w:hyperlink>
      <w:r>
        <w:rPr>
          <w:sz w:val="24"/>
          <w:szCs w:val="24"/>
        </w:rPr>
        <w:t xml:space="preserve"> "О государственной регистрации недвижимости", от 29.07.1998 г. № </w:t>
      </w:r>
      <w:hyperlink r:id="rId12">
        <w:r>
          <w:rPr>
            <w:color w:val="0000FF"/>
            <w:sz w:val="24"/>
            <w:szCs w:val="24"/>
          </w:rPr>
          <w:t>135-ФЗ</w:t>
        </w:r>
      </w:hyperlink>
      <w:r>
        <w:rPr>
          <w:sz w:val="24"/>
          <w:szCs w:val="24"/>
        </w:rPr>
        <w:t xml:space="preserve"> "Об оценочной деятельности в Российской Федерации".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  <w:t>Положение регулирует порядок закрепления муниципального имущества на праве хозяйственного ведения и оперативного управления за определенными хозяйствующими субъектами в порядке, определенном законодательством Российской Федерации, в целях повышения эффективности использования муниципального имущества и распространяется на имущество, закрепляемое за муниципальными учреждениями и муниципальными предприятиями, на праве оперативного управления и хозяйственного ведения.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  <w:t>1.2. Собственником муниципального имущества является муниципальное образование Артинский городской округ.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 xml:space="preserve">1.3. Субъектом права хозяйственного ведения является муниципальное унитарное предприятие (далее по тексту - предприятие). Предприятие, которому имущество принадлежит на праве хозяйственного ведения, владеет, пользуется и распоряжается этим имуществом в пределах, определяемых в соответствии с Гражданским </w:t>
      </w:r>
      <w:hyperlink r:id="rId13">
        <w:r>
          <w:rPr>
            <w:color w:val="0000FF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Федерации, Федеральным </w:t>
      </w:r>
      <w:hyperlink r:id="rId14">
        <w:r>
          <w:rPr>
            <w:color w:val="0000FF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14.11.2002 г. № 161-ФЗ "О государственных и муниципальных унитарных предприятиях", настоящим Положением.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1.4. Субъектом права оперативного управления являются муниципальные, казенные, бюджетные, автономные учреждения (далее по тексту - учреждение). Учреждения, за которыми имущество закреплено на праве оперативного управления, владеют, пользуются и распоряжаются этим имуществом в пределах, установленных законом, в соответствии с целями своей деятельности, назначением этого имущества.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1.5. За предприятиями на праве хозяйственного ведения и за учреждениями на праве оперативного управления закрепляется движимое и недвижимое муниципальное имущество.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1.6. Право хозяйственного ведения и право оперативного управления на недвижимое имущество подлежат государственной регистрации в порядке, предусмотренном действующим законодательством Российской Федерации.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1.7. Право хозяйственного ведения и право оперативного управления имуществом прекращаются по основаниям и в порядке, предусмотренным законодательством Российской Федерации и иными правовыми актами для прекращения права собственности, а также в случаях правомерного изъятия имущества по решению собственника (уполномоченного им лица).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 xml:space="preserve">1.8. Плоды, продукция и доходы, полученные от использования имущества, находящегося в хозяйственном ведении, оперативном управлении, а также имущество, приобретенное предприятием, учреждением по договору или иным законным основаниям, поступают в хозяйственное ведение предприятия, оперативное управление учреждения в порядке, установленном Гражданским </w:t>
      </w:r>
      <w:hyperlink r:id="rId15">
        <w:r>
          <w:rPr>
            <w:color w:val="0000FF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Федерации, другими законами и иными правовыми актами для приобретения права собственности.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1.9. К вопросам по порядку закрепления муниципального имущества на праве хозяйственного ведения и оперативного управления, не урегулированным настоящим Положением, применяются нормы гражданского законодательства.</w:t>
      </w:r>
    </w:p>
    <w:p>
      <w:pPr>
        <w:pStyle w:val="ConsPlus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auto" w:line="276"/>
        <w:ind w:start="0" w:end="0" w:hanging="0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Порядок закрепления имущества на праве</w:t>
      </w:r>
    </w:p>
    <w:p>
      <w:pPr>
        <w:pStyle w:val="ConsPlus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хозяйственного ведения</w:t>
      </w:r>
    </w:p>
    <w:p>
      <w:pPr>
        <w:pStyle w:val="ConsPlus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ConsPlusNormal"/>
        <w:spacing w:lineRule="auto" w:line="276"/>
        <w:ind w:start="0" w:end="0" w:firstLine="540"/>
        <w:jc w:val="both"/>
        <w:rPr/>
      </w:pPr>
      <w:r>
        <w:rPr>
          <w:sz w:val="24"/>
          <w:szCs w:val="24"/>
        </w:rPr>
        <w:t>2.1. Закрепление имущества, находящегося в муниципальной собственности, за предприятием на праве хозяйственного ведения осуществляется на основании решения Комитета по управлению имуществом  Администрации Артинского городского округа (далее - решение).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2.2. Право на имущество, закрепляемое за предприятием на праве хозяйственного ведения, возникает с момента передачи такого имущества предприятию, если иное не предусмотрено федеральным законом или не установлено решением Комитета по управлению имуществом  Администрации Артинского городского округа о передаче имущества предприятию.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2.3. Для издания решения предприятие представляет: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1) перечень имущества, предлагаемого к закреплению за предприятием на праве хозяйственного ведения, подписанный руководителем и главным бухгалтером предприятия;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документы, содержащие описание имущества в зависимости от вида закрепляемого в хозяйственное ведение имущества, в том числе технический план (технический паспорт) для зданий, строений, сооружений и нежилых помещений, техническая документация на имущество и иные документы, позволяющие с достаточной определенностью установить закрепляемое имущество;</w:t>
      </w:r>
    </w:p>
    <w:p>
      <w:pPr>
        <w:pStyle w:val="ConsPlusNormal"/>
        <w:numPr>
          <w:ilvl w:val="0"/>
          <w:numId w:val="0"/>
        </w:numPr>
        <w:spacing w:lineRule="auto" w:line="276"/>
        <w:ind w:start="0" w:end="0" w:hanging="0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Порядок владения, пользования и распоряжения имуществом,</w:t>
      </w:r>
    </w:p>
    <w:p>
      <w:pPr>
        <w:pStyle w:val="ConsPlus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закрепленным на праве хозяйственного ведения</w:t>
      </w:r>
    </w:p>
    <w:p>
      <w:pPr>
        <w:pStyle w:val="ConsPlus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spacing w:lineRule="auto" w:line="276"/>
        <w:ind w:start="0" w:end="0" w:firstLine="540"/>
        <w:jc w:val="both"/>
        <w:rPr/>
      </w:pPr>
      <w:r>
        <w:rPr>
          <w:sz w:val="24"/>
          <w:szCs w:val="24"/>
        </w:rPr>
        <w:t>3.1. Имущество, принадлежащее предприятию на праве хозяйственного ведения, отражается на его балансе в соответствии с действующим законодательством Российской Федерации.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 Предприятие обязано: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- эффективно использовать имущество строго по целевому назначению;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обеспечивать сохранность муниципального имущества, не совершать действий, способных причинить ущерб имуществу, поддерживать имущество в технически исправном и пригодном для эксплуатации состоянии в течение срока оперативного управления с учетом нормативного износа в процессе эксплуатации;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- проводить капитальный и текущий ремонт имущества, закрепленного за учреждением на праве хозяйственного ведения.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собственника.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3.4. Предприятие не вправе без согласия собственника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3.5. Недвижимым и движимым имуществом предприятие распоряжается только в пределах, не лишающих его возможности и (или) ограничивающих осуществлять деятельность, цели, предмет, виды которой определены уставом такого предприятия. Сделки, совершенные предприятием с нарушением этого требования, являются ничтожными.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 xml:space="preserve">3.6. Списание муниципального имущества, закрепленного на праве хозяйственного ведения за муниципальными предприятиями, осуществляется в порядке, определенном законодательством Российской Федерации и </w:t>
      </w:r>
      <w:hyperlink r:id="rId16">
        <w:r>
          <w:rPr>
            <w:color w:val="0000FF"/>
            <w:sz w:val="24"/>
            <w:szCs w:val="24"/>
            <w:shd w:fill="auto" w:val="clear"/>
          </w:rPr>
          <w:t>Положением</w:t>
        </w:r>
      </w:hyperlink>
      <w:r>
        <w:rPr>
          <w:sz w:val="24"/>
          <w:szCs w:val="24"/>
          <w:shd w:fill="auto" w:val="clear"/>
        </w:rPr>
        <w:t xml:space="preserve"> о порядке списания муниципального имущества Артинского городского округа. 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3.7. Имущество, закрепленное за предприятием на праве хозяйственного ведения, подлежит воспроизводству в соответствии с действующим законодательством Российской Федерации и установленными нормами и порядком амортизации.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3.8. Собственник имущества предприятия имеет право на получение части прибыли от использования имущества, находящегося в хозяйственном ведении предприятия.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3.9. Предприятие ежегодно перечисляет в местный бюджет часть прибыли, остающейся в его распоряжении после уплаты налогов и иных обязательных платежей, в порядке, размерах и в сроки, которые опреде</w:t>
      </w:r>
      <w:r>
        <w:rPr>
          <w:color w:val="000000"/>
          <w:sz w:val="24"/>
          <w:szCs w:val="24"/>
        </w:rPr>
        <w:t>ляются Решением Думы Артинского городского округа.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 xml:space="preserve">3.10. В случаях отчуждения предприятием основных средств предприятие в </w:t>
      </w:r>
      <w:r>
        <w:rPr>
          <w:rFonts w:cs="Times New Roman"/>
          <w:sz w:val="24"/>
          <w:szCs w:val="24"/>
        </w:rPr>
        <w:t>2-недельный срок с момента возникновения, изменения или прекращения права</w:t>
      </w:r>
      <w:r>
        <w:rPr>
          <w:sz w:val="24"/>
          <w:szCs w:val="24"/>
        </w:rPr>
        <w:t xml:space="preserve"> (даты подписания договора, принятия к исполнению исполнительного листа и т.п.) предоставляет в Комитет по управлению имуществом Администрации Артинского городского округа правоустанавливающий документ (договор или иной документ), подтверждающий факт отчуждения имущества. В  </w:t>
      </w:r>
      <w:r>
        <w:rPr>
          <w:rFonts w:cs="Times New Roman"/>
          <w:sz w:val="24"/>
          <w:szCs w:val="24"/>
        </w:rPr>
        <w:t xml:space="preserve">2-недельный срок </w:t>
      </w:r>
      <w:r>
        <w:rPr>
          <w:sz w:val="24"/>
          <w:szCs w:val="24"/>
        </w:rPr>
        <w:t>после приобретения предприятием основных средств документы об их приобретении (договоры, счета-фактуры, технические паспорта и т.д.) подлежат передаче в Комитет по управлению имуществом Администрации Артинского городского округа для своевременного учета в реестре муниципального имущества.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3.11. Отчуждение или приобретение предприятием основных средств является основанием для внесения изменений в реестр муниципального имущества. Закрепленное в хозяйственном ведении имущество, вновь поступившие основные средства отражаются на балансе предприятия.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3.12. Предприятие самостоятельно (за счет собственных средств) вносит в бюджет налог на имущество, переданное ему в хозяйственное ведение, в соответствии с налоговым законодательством.</w:t>
      </w:r>
    </w:p>
    <w:p>
      <w:pPr>
        <w:pStyle w:val="ConsPlusNormal"/>
        <w:numPr>
          <w:ilvl w:val="0"/>
          <w:numId w:val="0"/>
        </w:numPr>
        <w:spacing w:lineRule="auto" w:line="276"/>
        <w:ind w:start="0" w:end="0" w:hanging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auto" w:line="276"/>
        <w:ind w:start="0" w:end="0" w:hanging="0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Порядок закрепления имущества на праве</w:t>
      </w:r>
    </w:p>
    <w:p>
      <w:pPr>
        <w:pStyle w:val="ConsPlus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оперативного управления</w:t>
      </w:r>
    </w:p>
    <w:p>
      <w:pPr>
        <w:pStyle w:val="ConsPlus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spacing w:lineRule="auto" w:line="276"/>
        <w:ind w:start="0" w:end="0" w:firstLine="540"/>
        <w:jc w:val="both"/>
        <w:rPr/>
      </w:pPr>
      <w:r>
        <w:rPr>
          <w:sz w:val="24"/>
          <w:szCs w:val="24"/>
        </w:rPr>
        <w:t>4.1. Закрепление имущества, находящегося в муниципальной собственности, за учреждением на праве оперативного управления осуществляется на основании решения Комитета по управлению имуществом Администрации АГ</w:t>
      </w:r>
      <w:r>
        <w:rPr>
          <w:sz w:val="24"/>
          <w:szCs w:val="24"/>
          <w:shd w:fill="auto" w:val="clear"/>
        </w:rPr>
        <w:t>О.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4.2. Право оперативного управления учреждения возникает с момента передачи имущества учреждению.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4.3. Для издания решения Комитета по управлению имуществом Администрации АГО учреждение  представляет: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1) перечень имущества, предлагаемого к закреплению за учреждением на праве оперативного управления, подписанный руководителем и главным бухгалтером учреждения;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документы, содержащие описание имущества в зависимости от вида закрепляемого в оперативное управление имущества, в том числе технический план (технический паспорт) для зданий, строений, сооружений и нежилых помещений, техническая документация на имущество и иные документы, позволяющие с достаточной определенностью установить закрепляемое имущество;</w:t>
      </w:r>
    </w:p>
    <w:p>
      <w:pPr>
        <w:pStyle w:val="ConsPlusNormal"/>
        <w:numPr>
          <w:ilvl w:val="0"/>
          <w:numId w:val="0"/>
        </w:numPr>
        <w:spacing w:lineRule="auto" w:line="276"/>
        <w:ind w:start="0" w:end="0" w:hanging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auto" w:line="276"/>
        <w:ind w:start="0" w:end="0" w:hanging="0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Порядок владения, пользования и распоряжения имуществом,</w:t>
      </w:r>
    </w:p>
    <w:p>
      <w:pPr>
        <w:pStyle w:val="ConsPlus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закрепленным на праве оперативного управления</w:t>
      </w:r>
    </w:p>
    <w:p>
      <w:pPr>
        <w:pStyle w:val="ConsPlusNormal"/>
        <w:spacing w:lineRule="auto" w:line="276"/>
        <w:ind w:start="0" w:end="0" w:firstLine="540"/>
        <w:jc w:val="both"/>
        <w:rPr/>
      </w:pPr>
      <w:r>
        <w:rPr>
          <w:sz w:val="24"/>
          <w:szCs w:val="24"/>
        </w:rPr>
        <w:t>5.1. Имущество, закрепленное за учреждением на праве оперативного управления, находится в муниципальной собственности и отражается на балансе учреждения в порядке, установленном действующим законодательством.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5.2. Учреждение обязано: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- эффективно использовать имущество строго по целевому назначению;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обеспечивать сохранность муниципального имущества, не совершать действий, способных причинить ущерб имуществу, поддерживать имущество в технически исправном и пригодном для эксплуатации состоянии в течение срока оперативного управления с учетом нормативного износа в процессе эксплуатации;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проводить капитальный и текущий ремонт имущества, закрепленного за учреждением на праве оперативного управления.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 Казенное учреждение, за которым имущество закреплено на праве оперативного управления, владеет, пользуется и распоряжается этим имуществом в пределах, установленных законом, в соответствии с целями своей деятельности, назначением этого имущества.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5.4. Собственник вправе изъять излишнее, неиспользуемое или используемое не по назначению имущество, закрепленное им за учреждением либо приобретенное учреждением за счет средств, выделенных ему собственником на приобретение этого имущества. Имуществом, изъятым у учреждения, собственник имущества вправе распорядиться по своему усмотрению.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5.5. Казенное учреждение не вправе отчуждать либо иным способом распоряжаться имуществом без согласия собственника имущества. Казенное учреждение может осуществлять приносящую доходы деятельность в соответствии со своими учредительными документами. Доходы, полученные от указанной деятельности, поступают в местный бюджет.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5.6. Автономное учреждение без согласия собственника не вправе распоряжаться недвижимым имуществом и особо ценным движимым имуществом, закрепленными за ним собственником или приобретенными автономным учреждением за счет средств, выделенных ему собственником на приобретение такого имущества. Остальным имуществом, находящимся у него на праве оперативного управления, автономное учреждение вправе распоряжаться самостоятельно, если иное не установлено законом.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5.7. Автономное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автономного учреждения.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5.8. Бюджетное учреждение без согласия собственника не вправе распоряжаться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недвижимым имуществом и особо ценным движимым имуществом, закрепленными за ним собственником или приобретенным бюджетным учреждением за счет средств, выделенных ему собственником на приобретение такого имущества.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5.9. 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 xml:space="preserve">5.10. Списание муниципального имущества, закрепленного на праве оперативного управления за учреждениями, осуществляется в соответствии с законодательством Российской Федерации и </w:t>
      </w:r>
      <w:hyperlink r:id="rId17">
        <w:r>
          <w:rPr>
            <w:color w:val="0000FF"/>
            <w:sz w:val="24"/>
            <w:szCs w:val="24"/>
          </w:rPr>
          <w:t>Положением</w:t>
        </w:r>
      </w:hyperlink>
      <w:r>
        <w:rPr>
          <w:sz w:val="24"/>
          <w:szCs w:val="24"/>
        </w:rPr>
        <w:t xml:space="preserve"> о порядке списания муниципального имущества Артинского городского округа, находящегося в муниципальной казне, и имущества, закрепленного на вещном праве за муниципальными унитарными предприятиями, муниципальными учреждениями (автономные, бюджетные, казенные) Артинского городского округа.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5.11. Имущество, закрепленное за учреждением на праве оперативного управления, подлежит воспроизводству в соответствии с действующим законодательством, установленными нормами и порядком амортизации.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5.12. Учреждение самостоятельно (за счет собственных средств) вносит в бюджет налог на имущество, переданное ему в оперативное управление, в соответствии с налоговым законодательством.</w:t>
      </w:r>
    </w:p>
    <w:p>
      <w:pPr>
        <w:pStyle w:val="ConsPlusNormal"/>
        <w:numPr>
          <w:ilvl w:val="0"/>
          <w:numId w:val="0"/>
        </w:numPr>
        <w:spacing w:lineRule="auto" w:line="276"/>
        <w:ind w:start="0" w:end="0" w:hanging="0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Контроль за использованием муниципального имущества,</w:t>
      </w:r>
    </w:p>
    <w:p>
      <w:pPr>
        <w:pStyle w:val="ConsPlus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закрепленного на праве хозяйственного ведения</w:t>
      </w:r>
    </w:p>
    <w:p>
      <w:pPr>
        <w:pStyle w:val="ConsPlus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оперативного управления</w:t>
      </w:r>
    </w:p>
    <w:p>
      <w:pPr>
        <w:pStyle w:val="ConsPlusNormal"/>
        <w:spacing w:lineRule="auto" w:line="276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 Контроль за использованием муниципального имущества, закрепленного на праве хозяйственного ведения и оперативного управления, осуществляется в порядке, установленном законодательством Российской Федерации и нормативными правовыми актами Артинского городского округа.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 xml:space="preserve">6.2. Комитет по управлению имуществом Администрации Артинского городского округа </w:t>
      </w:r>
      <w:r>
        <w:rPr>
          <w:rFonts w:cs="Times New Roman"/>
          <w:sz w:val="24"/>
          <w:szCs w:val="24"/>
        </w:rPr>
        <w:t>не чаще одного раза в 3 год</w:t>
      </w:r>
      <w:r>
        <w:rPr>
          <w:rFonts w:cs="Times New Roman"/>
          <w:sz w:val="24"/>
          <w:szCs w:val="24"/>
          <w:shd w:fill="auto" w:val="clear"/>
        </w:rPr>
        <w:t>а</w:t>
      </w:r>
      <w:r>
        <w:rPr>
          <w:sz w:val="24"/>
          <w:szCs w:val="24"/>
          <w:shd w:fill="auto" w:val="clear"/>
        </w:rPr>
        <w:t xml:space="preserve"> проводит проверку наличия имущества, закрепленного на праве хозяйственного ведения и оперативного управления, его состояния, а также соблюдения условий пользования и (или) распоряжения имуществом, закрепленным за предприятиями, учреждениями.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6.3. Все изменения характеристик имущества, связанные с его использованием, учитываются в реестре муниципального имущества на основании заявления, предоставляемого предприятием, учреждением с приложением всех необходимых документов.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6.4. Предприятия и учреждения несут ответственность за сохранность и надлежащее использование имущества, переданного им на праве хозяйственного ведения и оперативного управления, в соответствии с действующим законодательством Российской Федерации.</w:t>
      </w:r>
    </w:p>
    <w:p>
      <w:pPr>
        <w:pStyle w:val="Normal"/>
        <w:bidi w:val="0"/>
        <w:spacing w:lineRule="atLeast" w:line="100"/>
        <w:ind w:start="0" w:end="0" w:firstLine="54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Arial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widowControl w:val="false"/>
      <w:overflowPunct w:val="true"/>
      <w:textAlignment w:val="baseline"/>
      <w:outlineLvl w:val="0"/>
    </w:pPr>
    <w:rPr>
      <w:szCs w:val="28"/>
    </w:rPr>
  </w:style>
  <w:style w:type="character" w:styleId="Style13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start="720" w:end="0" w:hanging="0"/>
      <w:contextualSpacing/>
    </w:pPr>
    <w:rPr/>
  </w:style>
  <w:style w:type="paragraph" w:styleId="11">
    <w:name w:val="Абзац списка1"/>
    <w:basedOn w:val="Normal"/>
    <w:qFormat/>
    <w:pPr>
      <w:suppressAutoHyphens w:val="true"/>
      <w:ind w:start="720" w:end="0" w:hanging="0"/>
    </w:pPr>
    <w:rPr>
      <w:rFonts w:ascii="Arial" w:hAnsi="Arial" w:eastAsia="Calibri" w:cs="Arial"/>
      <w:kern w:val="2"/>
      <w:sz w:val="20"/>
      <w:szCs w:val="20"/>
      <w:lang w:eastAsia="hi-IN" w:bidi="hi-IN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lineRule="auto" w:line="240" w:before="0" w:after="0"/>
      <w:jc w:val="star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06C11AA00C48FEEE79E577EE4BBB5ABB7BD967E42B69ABD141223F98C18B88E8ADEBB2753AD95E243F589EB8F043kFJ" TargetMode="External"/><Relationship Id="rId4" Type="http://schemas.openxmlformats.org/officeDocument/2006/relationships/hyperlink" Target="consultantplus://offline/ref=06C11AA00C48FEEE79E577EE4BBB5ABB7BDA67E32267ABD141223F98C18B88E8ADEBB2753AD95E243F589EB8F043kFJ" TargetMode="External"/><Relationship Id="rId5" Type="http://schemas.openxmlformats.org/officeDocument/2006/relationships/hyperlink" Target="consultantplus://offline/ref=06C11AA00C48FEEE79E577EE4BBB5ABB7BDA65E62A6DABD141223F98C18B88E8ADEBB2753AD95E243F589EB8F043kFJ" TargetMode="External"/><Relationship Id="rId6" Type="http://schemas.openxmlformats.org/officeDocument/2006/relationships/hyperlink" Target="consultantplus://offline/ref=06C11AA00C48FEEE79E577EE4BBB5ABB7BD961E32F6CABD141223F98C18B88E8ADEBB2753AD95E243F589EB8F043kFJ" TargetMode="External"/><Relationship Id="rId7" Type="http://schemas.openxmlformats.org/officeDocument/2006/relationships/hyperlink" Target="consultantplus://offline/ref=06C11AA00C48FEEE79E577EE4BBB5ABB7BD862EF286DABD141223F98C18B88E8ADEBB2753AD95E243F589EB8F043kFJ" TargetMode="External"/><Relationship Id="rId8" Type="http://schemas.openxmlformats.org/officeDocument/2006/relationships/hyperlink" Target="consultantplus://offline/ref=06C11AA00C48FEEE79E577EE4BBB5ABB7CD06EEF2D68ABD141223F98C18B88E8ADEBB2753AD95E243F589EB8F043kFJ" TargetMode="External"/><Relationship Id="rId9" Type="http://schemas.openxmlformats.org/officeDocument/2006/relationships/hyperlink" Target="consultantplus://offline/ref=06C11AA00C48FEEE79E577EE4BBB5ABB7CD06EEE286DABD141223F98C18B88E8ADEBB2753AD95E243F589EB8F043kFJ" TargetMode="External"/><Relationship Id="rId10" Type="http://schemas.openxmlformats.org/officeDocument/2006/relationships/hyperlink" Target="consultantplus://offline/ref=06C11AA00C48FEEE79E577EE4BBB5ABB7BD966E72C67ABD141223F98C18B88E8ADEBB2753AD95E243F589EB8F043kFJ" TargetMode="External"/><Relationship Id="rId11" Type="http://schemas.openxmlformats.org/officeDocument/2006/relationships/hyperlink" Target="consultantplus://offline/ref=06C11AA00C48FEEE79E577EE4BBB5ABB7BDA65E62F6FABD141223F98C18B88E8ADEBB2753AD95E243F589EB8F043kFJ" TargetMode="External"/><Relationship Id="rId12" Type="http://schemas.openxmlformats.org/officeDocument/2006/relationships/hyperlink" Target="consultantplus://offline/ref=06C11AA00C48FEEE79E577EE4BBB5ABB7CD06EE02966ABD141223F98C18B88E8ADEBB2753AD95E243F589EB8F043kFJ" TargetMode="External"/><Relationship Id="rId13" Type="http://schemas.openxmlformats.org/officeDocument/2006/relationships/hyperlink" Target="consultantplus://offline/ref=06C11AA00C48FEEE79E577EE4BBB5ABB7BD967E42B69ABD141223F98C18B88E8ADEBB2753AD95E243F589EB8F043kFJ" TargetMode="External"/><Relationship Id="rId14" Type="http://schemas.openxmlformats.org/officeDocument/2006/relationships/hyperlink" Target="consultantplus://offline/ref=06C11AA00C48FEEE79E577EE4BBB5ABB7CD06EEF2D68ABD141223F98C18B88E8ADEBB2753AD95E243F589EB8F043kFJ" TargetMode="External"/><Relationship Id="rId15" Type="http://schemas.openxmlformats.org/officeDocument/2006/relationships/hyperlink" Target="consultantplus://offline/ref=06C11AA00C48FEEE79E577EE4BBB5ABB7BD967E42B69ABD141223F98C18B88E8ADEBB2753AD95E243F589EB8F043kFJ" TargetMode="External"/><Relationship Id="rId16" Type="http://schemas.openxmlformats.org/officeDocument/2006/relationships/hyperlink" Target="consultantplus://offline/ref=06C11AA00C48FEEE79E576E05EBB5ABB7DDD64E62F6DABD141223F98C18B88E8BFEBEA793BD14025304DC8E9B668B73E3CB7474A91588D804Fk7J" TargetMode="External"/><Relationship Id="rId17" Type="http://schemas.openxmlformats.org/officeDocument/2006/relationships/hyperlink" Target="consultantplus://offline/ref=06C11AA00C48FEEE79E576E05EBB5ABB7DDD64E62F6DABD141223F98C18B88E8BFEBEA793BD14025304DC8E9B668B73E3CB7474A91588D804Fk7J" TargetMode="Externa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LibreOffice/7.4.1.2$Windows_X86_64 LibreOffice_project/3c58a8f3a960df8bc8fd77b461821e42c061c5f0</Application>
  <AppVersion>15.0000</AppVersion>
  <Pages>8</Pages>
  <Words>2014</Words>
  <Characters>15271</Characters>
  <CharactersWithSpaces>17647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2022-09-30T11:04:44Z</dcterms:created>
  <dc:creator/>
  <dc:description/>
  <dc:language>ru-RU</dc:language>
  <cp:lastModifiedBy/>
  <dcterms:modified xsi:type="dcterms:W3CDTF">2022-09-30T11:06:37Z</dcterms:modified>
  <cp:revision>1</cp:revision>
  <dc:subject/>
  <dc:title/>
</cp:coreProperties>
</file>