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drawing>
          <wp:inline distT="0" distB="0" distL="0" distR="0">
            <wp:extent cx="514350" cy="5905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2"/>
                    <a:stretch>
                      <a:fillRect/>
                    </a:stretch>
                  </pic:blipFill>
                  <pic:spPr bwMode="auto">
                    <a:xfrm>
                      <a:off x="0" y="0"/>
                      <a:ext cx="514350" cy="590550"/>
                    </a:xfrm>
                    <a:prstGeom prst="rect">
                      <a:avLst/>
                    </a:prstGeom>
                  </pic:spPr>
                </pic:pic>
              </a:graphicData>
            </a:graphic>
          </wp:inline>
        </w:drawing>
      </w:r>
    </w:p>
    <w:p>
      <w:pPr>
        <w:pStyle w:val="Normal"/>
        <w:rPr>
          <w:sz w:val="28"/>
          <w:szCs w:val="28"/>
        </w:rPr>
      </w:pPr>
      <w:r>
        <w:rPr>
          <w:sz w:val="28"/>
          <w:szCs w:val="28"/>
        </w:rPr>
        <w:t>ПРОЕКТ</w:t>
      </w:r>
    </w:p>
    <w:tbl>
      <w:tblPr>
        <w:tblW w:w="5000" w:type="pct"/>
        <w:jc w:val="left"/>
        <w:tblInd w:w="0" w:type="dxa"/>
        <w:tblLayout w:type="fixed"/>
        <w:tblCellMar>
          <w:top w:w="0" w:type="dxa"/>
          <w:left w:w="108" w:type="dxa"/>
          <w:bottom w:w="0" w:type="dxa"/>
          <w:right w:w="108" w:type="dxa"/>
        </w:tblCellMar>
        <w:tblLook w:val="01e0"/>
      </w:tblPr>
      <w:tblGrid>
        <w:gridCol w:w="103"/>
        <w:gridCol w:w="533"/>
        <w:gridCol w:w="1041"/>
        <w:gridCol w:w="720"/>
        <w:gridCol w:w="467"/>
        <w:gridCol w:w="744"/>
        <w:gridCol w:w="6028"/>
      </w:tblGrid>
      <w:tr>
        <w:trPr>
          <w:trHeight w:val="812" w:hRule="atLeast"/>
        </w:trPr>
        <w:tc>
          <w:tcPr>
            <w:tcW w:w="9636" w:type="dxa"/>
            <w:gridSpan w:val="7"/>
            <w:tcBorders/>
          </w:tcPr>
          <w:p>
            <w:pPr>
              <w:pStyle w:val="Normal"/>
              <w:widowControl w:val="false"/>
              <w:tabs>
                <w:tab w:val="clear" w:pos="708"/>
                <w:tab w:val="left" w:pos="312" w:leader="none"/>
                <w:tab w:val="left" w:pos="1560" w:leader="none"/>
                <w:tab w:val="left" w:pos="2652" w:leader="none"/>
              </w:tabs>
              <w:jc w:val="center"/>
              <w:rPr>
                <w:b/>
                <w:b/>
                <w:sz w:val="28"/>
                <w:szCs w:val="28"/>
              </w:rPr>
            </w:pPr>
            <w:r>
              <w:rPr>
                <w:b/>
                <w:sz w:val="28"/>
                <w:szCs w:val="28"/>
              </w:rPr>
              <w:t>АДМИНИСТРАЦИЯ АРТИНСКОГО ГОРОДСКОГО ОКРУГА</w:t>
            </w:r>
          </w:p>
          <w:p>
            <w:pPr>
              <w:pStyle w:val="Normal"/>
              <w:widowControl w:val="false"/>
              <w:jc w:val="center"/>
              <w:rPr>
                <w:b/>
                <w:b/>
                <w:sz w:val="28"/>
                <w:szCs w:val="28"/>
              </w:rPr>
            </w:pPr>
            <w:r>
              <w:rPr>
                <w:b/>
                <w:sz w:val="28"/>
                <w:szCs w:val="28"/>
              </w:rPr>
              <w:t>ПОСТАНОВЛЕНИЕ</w:t>
            </w:r>
          </w:p>
          <w:p>
            <w:pPr>
              <w:pStyle w:val="Normal"/>
              <w:widowControl w:val="false"/>
              <w:jc w:val="center"/>
              <w:rPr>
                <w:b/>
                <w:b/>
                <w:sz w:val="28"/>
                <w:szCs w:val="28"/>
              </w:rPr>
            </w:pPr>
            <w:r>
              <w:rPr>
                <w:b/>
                <w:sz w:val="28"/>
                <w:szCs w:val="28"/>
              </w:rPr>
            </w:r>
          </w:p>
        </w:tc>
      </w:tr>
      <w:tr>
        <w:trPr/>
        <w:tc>
          <w:tcPr>
            <w:tcW w:w="103" w:type="dxa"/>
            <w:tcBorders/>
          </w:tcPr>
          <w:p>
            <w:pPr>
              <w:pStyle w:val="Normal"/>
              <w:widowControl w:val="false"/>
              <w:rPr>
                <w:sz w:val="28"/>
                <w:szCs w:val="28"/>
              </w:rPr>
            </w:pPr>
            <w:r>
              <w:rPr>
                <w:sz w:val="28"/>
                <w:szCs w:val="28"/>
              </w:rPr>
            </w:r>
          </w:p>
        </w:tc>
        <w:tc>
          <w:tcPr>
            <w:tcW w:w="533" w:type="dxa"/>
            <w:tcBorders/>
          </w:tcPr>
          <w:p>
            <w:pPr>
              <w:pStyle w:val="Normal"/>
              <w:widowControl w:val="false"/>
              <w:rPr>
                <w:sz w:val="28"/>
                <w:szCs w:val="28"/>
              </w:rPr>
            </w:pPr>
            <w:r>
              <w:rPr>
                <w:sz w:val="28"/>
                <w:szCs w:val="28"/>
              </w:rPr>
              <w:t>от</w:t>
            </w:r>
          </w:p>
        </w:tc>
        <w:tc>
          <w:tcPr>
            <w:tcW w:w="1761" w:type="dxa"/>
            <w:gridSpan w:val="2"/>
            <w:tcBorders>
              <w:bottom w:val="single" w:sz="4" w:space="0" w:color="000000"/>
            </w:tcBorders>
          </w:tcPr>
          <w:p>
            <w:pPr>
              <w:pStyle w:val="Normal"/>
              <w:widowControl w:val="false"/>
              <w:rPr>
                <w:sz w:val="28"/>
                <w:szCs w:val="28"/>
              </w:rPr>
            </w:pPr>
            <w:r>
              <w:rPr>
                <w:sz w:val="28"/>
                <w:szCs w:val="28"/>
              </w:rPr>
            </w:r>
          </w:p>
        </w:tc>
        <w:tc>
          <w:tcPr>
            <w:tcW w:w="467" w:type="dxa"/>
            <w:tcBorders/>
          </w:tcPr>
          <w:p>
            <w:pPr>
              <w:pStyle w:val="Normal"/>
              <w:widowControl w:val="false"/>
              <w:rPr>
                <w:sz w:val="28"/>
                <w:szCs w:val="28"/>
              </w:rPr>
            </w:pPr>
            <w:r>
              <w:rPr>
                <w:sz w:val="28"/>
                <w:szCs w:val="28"/>
              </w:rPr>
              <w:t>№</w:t>
            </w:r>
          </w:p>
        </w:tc>
        <w:tc>
          <w:tcPr>
            <w:tcW w:w="744" w:type="dxa"/>
            <w:tcBorders>
              <w:bottom w:val="single" w:sz="4" w:space="0" w:color="000000"/>
            </w:tcBorders>
          </w:tcPr>
          <w:p>
            <w:pPr>
              <w:pStyle w:val="Normal"/>
              <w:widowControl w:val="false"/>
              <w:jc w:val="center"/>
              <w:rPr>
                <w:sz w:val="28"/>
                <w:szCs w:val="28"/>
              </w:rPr>
            </w:pPr>
            <w:r>
              <w:rPr>
                <w:sz w:val="28"/>
                <w:szCs w:val="28"/>
              </w:rPr>
            </w:r>
          </w:p>
        </w:tc>
        <w:tc>
          <w:tcPr>
            <w:tcW w:w="6028" w:type="dxa"/>
            <w:tcBorders/>
          </w:tcPr>
          <w:p>
            <w:pPr>
              <w:pStyle w:val="Normal"/>
              <w:widowControl w:val="false"/>
              <w:rPr/>
            </w:pPr>
            <w:r>
              <w:rPr/>
            </w:r>
          </w:p>
        </w:tc>
      </w:tr>
      <w:tr>
        <w:trPr>
          <w:trHeight w:val="363" w:hRule="atLeast"/>
        </w:trPr>
        <w:tc>
          <w:tcPr>
            <w:tcW w:w="103" w:type="dxa"/>
            <w:tcBorders/>
          </w:tcPr>
          <w:p>
            <w:pPr>
              <w:pStyle w:val="Normal"/>
              <w:widowControl w:val="false"/>
              <w:rPr>
                <w:sz w:val="28"/>
                <w:szCs w:val="28"/>
              </w:rPr>
            </w:pPr>
            <w:r>
              <w:rPr>
                <w:sz w:val="28"/>
                <w:szCs w:val="28"/>
              </w:rPr>
            </w:r>
          </w:p>
        </w:tc>
        <w:tc>
          <w:tcPr>
            <w:tcW w:w="1574" w:type="dxa"/>
            <w:gridSpan w:val="2"/>
            <w:tcBorders/>
          </w:tcPr>
          <w:p>
            <w:pPr>
              <w:pStyle w:val="Normal"/>
              <w:widowControl w:val="false"/>
              <w:rPr>
                <w:sz w:val="28"/>
                <w:szCs w:val="28"/>
              </w:rPr>
            </w:pPr>
            <w:r>
              <w:rPr>
                <w:sz w:val="28"/>
                <w:szCs w:val="28"/>
              </w:rPr>
              <w:t>пгт. Арти</w:t>
            </w:r>
          </w:p>
        </w:tc>
        <w:tc>
          <w:tcPr>
            <w:tcW w:w="720" w:type="dxa"/>
            <w:tcBorders/>
          </w:tcPr>
          <w:p>
            <w:pPr>
              <w:pStyle w:val="Normal"/>
              <w:widowControl w:val="false"/>
              <w:rPr/>
            </w:pPr>
            <w:r>
              <w:rPr/>
            </w:r>
          </w:p>
        </w:tc>
        <w:tc>
          <w:tcPr>
            <w:tcW w:w="467" w:type="dxa"/>
            <w:tcBorders/>
          </w:tcPr>
          <w:p>
            <w:pPr>
              <w:pStyle w:val="Normal"/>
              <w:widowControl w:val="false"/>
              <w:rPr/>
            </w:pPr>
            <w:r>
              <w:rPr/>
            </w:r>
          </w:p>
        </w:tc>
        <w:tc>
          <w:tcPr>
            <w:tcW w:w="744" w:type="dxa"/>
            <w:tcBorders/>
          </w:tcPr>
          <w:p>
            <w:pPr>
              <w:pStyle w:val="Normal"/>
              <w:widowControl w:val="false"/>
              <w:rPr/>
            </w:pPr>
            <w:r>
              <w:rPr/>
            </w:r>
          </w:p>
        </w:tc>
        <w:tc>
          <w:tcPr>
            <w:tcW w:w="6028" w:type="dxa"/>
            <w:tcBorders/>
          </w:tcPr>
          <w:p>
            <w:pPr>
              <w:pStyle w:val="Normal"/>
              <w:widowControl w:val="false"/>
              <w:rPr/>
            </w:pPr>
            <w:r>
              <w:rPr/>
            </w:r>
          </w:p>
        </w:tc>
      </w:tr>
    </w:tbl>
    <w:p>
      <w:pPr>
        <w:pStyle w:val="Normal"/>
        <w:rPr>
          <w:sz w:val="28"/>
          <w:szCs w:val="28"/>
        </w:rPr>
      </w:pPr>
      <w:r>
        <w:rPr>
          <w:sz w:val="28"/>
          <w:szCs w:val="28"/>
        </w:rPr>
      </w:r>
    </w:p>
    <w:p>
      <w:pPr>
        <w:pStyle w:val="ConsPlusTitle"/>
        <w:numPr>
          <w:ilvl w:val="0"/>
          <w:numId w:val="0"/>
        </w:numPr>
        <w:ind w:left="0" w:hanging="0"/>
        <w:jc w:val="center"/>
        <w:outlineLvl w:val="0"/>
        <w:rPr>
          <w:rFonts w:ascii="Times New Roman" w:hAnsi="Times New Roman" w:cs="Times New Roman"/>
          <w:i/>
          <w:i/>
          <w:sz w:val="28"/>
          <w:szCs w:val="28"/>
        </w:rPr>
      </w:pPr>
      <w:r>
        <w:rPr>
          <w:rFonts w:cs="Times New Roman" w:ascii="Times New Roman" w:hAnsi="Times New Roman"/>
          <w:bCs w:val="false"/>
          <w:i/>
          <w:sz w:val="28"/>
          <w:szCs w:val="28"/>
        </w:rPr>
        <w:t xml:space="preserve">О внесении изменений в постановление Администрации Артинского городского округа от 02.12.2020 г. № 683 «Об утверждении </w:t>
      </w:r>
      <w:r>
        <w:rPr>
          <w:rFonts w:cs="Times New Roman" w:ascii="Times New Roman" w:hAnsi="Times New Roman"/>
          <w:i/>
          <w:sz w:val="28"/>
          <w:szCs w:val="28"/>
        </w:rPr>
        <w:t>административн</w:t>
      </w:r>
      <w:r>
        <w:rPr>
          <w:rFonts w:cs="Times New Roman" w:ascii="Times New Roman" w:hAnsi="Times New Roman"/>
          <w:bCs w:val="false"/>
          <w:i/>
          <w:sz w:val="28"/>
          <w:szCs w:val="28"/>
        </w:rPr>
        <w:t>ого</w:t>
      </w:r>
      <w:r>
        <w:rPr>
          <w:rFonts w:cs="Times New Roman" w:ascii="Times New Roman" w:hAnsi="Times New Roman"/>
          <w:i/>
          <w:sz w:val="28"/>
          <w:szCs w:val="28"/>
        </w:rPr>
        <w:t xml:space="preserve"> регламента предоставления муниципальной услуги «Заключение соглашений о перераспределении</w:t>
      </w:r>
    </w:p>
    <w:p>
      <w:pPr>
        <w:pStyle w:val="ConsPlusTitle"/>
        <w:numPr>
          <w:ilvl w:val="0"/>
          <w:numId w:val="0"/>
        </w:numPr>
        <w:ind w:left="0" w:hanging="0"/>
        <w:jc w:val="center"/>
        <w:outlineLvl w:val="0"/>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 xml:space="preserve">земель и (или) земельных участков, расположенных на территории </w:t>
      </w:r>
    </w:p>
    <w:p>
      <w:pPr>
        <w:pStyle w:val="ConsPlusTitle"/>
        <w:numPr>
          <w:ilvl w:val="0"/>
          <w:numId w:val="0"/>
        </w:numPr>
        <w:ind w:left="0" w:hanging="0"/>
        <w:jc w:val="center"/>
        <w:outlineLvl w:val="0"/>
        <w:rPr>
          <w:rFonts w:ascii="Times New Roman" w:hAnsi="Times New Roman" w:cs="Times New Roman"/>
          <w:i/>
          <w:i/>
          <w:sz w:val="28"/>
          <w:szCs w:val="28"/>
        </w:rPr>
      </w:pPr>
      <w:r>
        <w:rPr>
          <w:rFonts w:cs="Times New Roman" w:ascii="Times New Roman" w:hAnsi="Times New Roman"/>
          <w:i/>
          <w:sz w:val="28"/>
          <w:szCs w:val="28"/>
        </w:rPr>
        <w:t>Артинского городского округа»»</w:t>
      </w:r>
    </w:p>
    <w:p>
      <w:pPr>
        <w:pStyle w:val="Normal"/>
        <w:widowControl w:val="false"/>
        <w:jc w:val="center"/>
        <w:rPr>
          <w:sz w:val="28"/>
          <w:szCs w:val="28"/>
        </w:rPr>
      </w:pPr>
      <w:r>
        <w:rPr>
          <w:sz w:val="28"/>
          <w:szCs w:val="28"/>
        </w:rPr>
      </w:r>
    </w:p>
    <w:p>
      <w:pPr>
        <w:pStyle w:val="Normal"/>
        <w:widowControl w:val="false"/>
        <w:jc w:val="both"/>
        <w:rPr>
          <w:sz w:val="28"/>
          <w:szCs w:val="28"/>
        </w:rPr>
      </w:pPr>
      <w:r>
        <w:rPr>
          <w:sz w:val="28"/>
          <w:szCs w:val="28"/>
        </w:rPr>
        <w:t xml:space="preserve">        </w:t>
      </w:r>
      <w:r>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201-ФЗ Об организации предоставления государственных и муниципальных услуг», постановлением Правительства Российской Федерации от 13.06.2018 года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Уставом Артинского городского округа, Положением о Комитет по управлению имуществом Администрации Артинского городского округа, </w:t>
      </w:r>
    </w:p>
    <w:p>
      <w:pPr>
        <w:pStyle w:val="Normal"/>
        <w:widowControl w:val="false"/>
        <w:jc w:val="both"/>
        <w:rPr>
          <w:b/>
          <w:b/>
          <w:bCs/>
          <w:sz w:val="28"/>
          <w:szCs w:val="28"/>
        </w:rPr>
      </w:pPr>
      <w:r>
        <w:rPr>
          <w:b/>
          <w:bCs/>
          <w:sz w:val="28"/>
          <w:szCs w:val="28"/>
        </w:rPr>
      </w:r>
    </w:p>
    <w:p>
      <w:pPr>
        <w:pStyle w:val="Normal"/>
        <w:widowControl w:val="false"/>
        <w:jc w:val="both"/>
        <w:rPr>
          <w:b/>
          <w:b/>
          <w:bCs/>
          <w:sz w:val="28"/>
          <w:szCs w:val="28"/>
        </w:rPr>
      </w:pPr>
      <w:r>
        <w:rPr>
          <w:b/>
          <w:bCs/>
          <w:sz w:val="28"/>
          <w:szCs w:val="28"/>
        </w:rPr>
        <w:t>ПОСТАНОВЛЯЮ:</w:t>
      </w:r>
    </w:p>
    <w:p>
      <w:pPr>
        <w:pStyle w:val="ConsPlusTitle"/>
        <w:numPr>
          <w:ilvl w:val="0"/>
          <w:numId w:val="0"/>
        </w:numPr>
        <w:ind w:left="0" w:hanging="0"/>
        <w:jc w:val="both"/>
        <w:outlineLvl w:val="0"/>
        <w:rPr>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 xml:space="preserve">1.  Внести в </w:t>
      </w:r>
      <w:r>
        <w:rPr>
          <w:rFonts w:cs="Times New Roman" w:ascii="Times New Roman" w:hAnsi="Times New Roman"/>
          <w:b w:val="false"/>
          <w:bCs w:val="false"/>
          <w:i/>
          <w:sz w:val="28"/>
          <w:szCs w:val="28"/>
        </w:rPr>
        <w:t xml:space="preserve"> </w:t>
      </w:r>
      <w:r>
        <w:rPr>
          <w:rFonts w:cs="Times New Roman" w:ascii="Times New Roman" w:hAnsi="Times New Roman"/>
          <w:b w:val="false"/>
          <w:bCs w:val="false"/>
          <w:i w:val="false"/>
          <w:iCs w:val="false"/>
          <w:sz w:val="28"/>
          <w:szCs w:val="28"/>
        </w:rPr>
        <w:t xml:space="preserve">постановление Администрации Артинского городского округа от 02.12.2020 г. № 683 «Об утверждении административного регламента предоставления муниципальной услуги «Заключение соглашений о перераспределении земель и (или) земельных участков, расположенных на территории Артинского городского округа»»   </w:t>
      </w:r>
      <w:r>
        <w:rPr>
          <w:rFonts w:cs="Times New Roman" w:ascii="Times New Roman" w:hAnsi="Times New Roman"/>
          <w:b w:val="false"/>
          <w:sz w:val="28"/>
          <w:szCs w:val="28"/>
        </w:rPr>
        <w:t xml:space="preserve"> следующие изменения:</w:t>
      </w:r>
    </w:p>
    <w:p>
      <w:pPr>
        <w:pStyle w:val="ConsPlusTitle"/>
        <w:numPr>
          <w:ilvl w:val="0"/>
          <w:numId w:val="0"/>
        </w:numPr>
        <w:ind w:left="0" w:hanging="0"/>
        <w:jc w:val="both"/>
        <w:outlineLvl w:val="0"/>
        <w:rPr>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1.1.  Пункт   13  изложить в следующей редакции:</w:t>
      </w:r>
    </w:p>
    <w:p>
      <w:pPr>
        <w:pStyle w:val="ConsPlusTitle"/>
        <w:numPr>
          <w:ilvl w:val="0"/>
          <w:numId w:val="0"/>
        </w:numPr>
        <w:ind w:left="0" w:hanging="0"/>
        <w:jc w:val="both"/>
        <w:outlineLvl w:val="0"/>
        <w:rPr>
          <w:sz w:val="28"/>
          <w:szCs w:val="28"/>
        </w:rPr>
      </w:pPr>
      <w:r>
        <w:rPr>
          <w:rFonts w:cs="Times New Roman" w:ascii="Times New Roman" w:hAnsi="Times New Roman"/>
          <w:b w:val="false"/>
          <w:sz w:val="24"/>
          <w:szCs w:val="24"/>
          <w:shd w:fill="FFFFFF" w:val="clear"/>
          <w:lang w:val="en-US"/>
        </w:rPr>
        <w:t xml:space="preserve">     </w:t>
      </w:r>
      <w:r>
        <w:rPr>
          <w:rFonts w:cs="Times New Roman" w:ascii="Times New Roman" w:hAnsi="Times New Roman"/>
          <w:b w:val="false"/>
          <w:bCs w:val="false"/>
          <w:i w:val="false"/>
          <w:iCs w:val="false"/>
          <w:sz w:val="28"/>
          <w:szCs w:val="28"/>
          <w:shd w:fill="FFFFFF" w:val="clear"/>
          <w:lang w:val="en-US"/>
        </w:rPr>
        <w:t>«</w:t>
      </w:r>
      <w:r>
        <w:rPr>
          <w:rFonts w:cs="Times New Roman" w:ascii="Times New Roman" w:hAnsi="Times New Roman"/>
          <w:b w:val="false"/>
          <w:sz w:val="28"/>
          <w:szCs w:val="28"/>
          <w:shd w:fill="FFFFFF" w:val="clear"/>
        </w:rPr>
        <w:t>О</w:t>
      </w:r>
      <w:r>
        <w:rPr>
          <w:rFonts w:cs="Times New Roman" w:ascii="Times New Roman" w:hAnsi="Times New Roman"/>
          <w:b w:val="false"/>
          <w:sz w:val="28"/>
          <w:szCs w:val="28"/>
        </w:rPr>
        <w:t>бщий срок предоставления муниципальной услуги с учетом следующих этапов составляет:</w:t>
      </w:r>
    </w:p>
    <w:p>
      <w:pPr>
        <w:pStyle w:val="ConsPlusNormal"/>
        <w:numPr>
          <w:ilvl w:val="0"/>
          <w:numId w:val="0"/>
        </w:numPr>
        <w:ind w:firstLine="540"/>
        <w:jc w:val="both"/>
        <w:outlineLvl w:val="0"/>
        <w:rPr>
          <w:sz w:val="28"/>
          <w:szCs w:val="28"/>
        </w:rPr>
      </w:pPr>
      <w:r>
        <w:rPr>
          <w:rFonts w:cs="Times New Roman" w:ascii="Times New Roman" w:hAnsi="Times New Roman"/>
          <w:b w:val="false"/>
          <w:sz w:val="28"/>
          <w:szCs w:val="28"/>
        </w:rPr>
        <w:t xml:space="preserve">- первый этап предоставления муниципальной услуги: </w:t>
      </w:r>
    </w:p>
    <w:p>
      <w:pPr>
        <w:pStyle w:val="ConsPlusNormal"/>
        <w:numPr>
          <w:ilvl w:val="0"/>
          <w:numId w:val="0"/>
        </w:numPr>
        <w:ind w:firstLine="540"/>
        <w:jc w:val="both"/>
        <w:outlineLvl w:val="0"/>
        <w:rPr>
          <w:sz w:val="28"/>
          <w:szCs w:val="28"/>
        </w:rPr>
      </w:pPr>
      <w:r>
        <w:rPr>
          <w:rFonts w:cs="Times New Roman" w:ascii="Times New Roman" w:hAnsi="Times New Roman"/>
          <w:sz w:val="28"/>
          <w:szCs w:val="28"/>
        </w:rPr>
        <w:t xml:space="preserve">с даты регистрации представленного заявителем в отдел архитектуры заявления о перераспределении земель и (или) земельных участков с приложением документов, предусмотренных </w:t>
      </w:r>
      <w:hyperlink w:anchor="P169">
        <w:r>
          <w:rPr>
            <w:rFonts w:cs="Times New Roman" w:ascii="Times New Roman" w:hAnsi="Times New Roman"/>
            <w:color w:val="0000FF"/>
            <w:sz w:val="28"/>
            <w:szCs w:val="28"/>
          </w:rPr>
          <w:t xml:space="preserve"> пунктом 1</w:t>
        </w:r>
      </w:hyperlink>
      <w:r>
        <w:rPr>
          <w:rFonts w:cs="Times New Roman" w:ascii="Times New Roman" w:hAnsi="Times New Roman"/>
          <w:color w:val="0000FF"/>
          <w:sz w:val="28"/>
          <w:szCs w:val="28"/>
        </w:rPr>
        <w:t>5, 16</w:t>
      </w:r>
      <w:r>
        <w:rPr>
          <w:rFonts w:cs="Times New Roman" w:ascii="Times New Roman" w:hAnsi="Times New Roman"/>
          <w:sz w:val="28"/>
          <w:szCs w:val="28"/>
        </w:rPr>
        <w:t xml:space="preserve"> настоящего Административного регламента, до даты выдачи заявителю:</w:t>
      </w:r>
    </w:p>
    <w:p>
      <w:pPr>
        <w:pStyle w:val="ConsPlusNormal"/>
        <w:numPr>
          <w:ilvl w:val="0"/>
          <w:numId w:val="0"/>
        </w:numPr>
        <w:ind w:hanging="0"/>
        <w:jc w:val="both"/>
        <w:outlineLvl w:val="0"/>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решения об утверждении схемы расположения земельных участков, если  отсутствует проект межевания территории;  </w:t>
      </w:r>
      <w:r>
        <w:rPr>
          <w:rFonts w:cs="Times New Roman" w:ascii="Times New Roman" w:hAnsi="Times New Roman"/>
          <w:sz w:val="28"/>
          <w:szCs w:val="28"/>
        </w:rPr>
        <w:t xml:space="preserve">либо </w:t>
      </w:r>
      <w:r>
        <w:rPr>
          <w:rFonts w:cs="Times New Roman" w:ascii="Times New Roman" w:hAnsi="Times New Roman"/>
          <w:sz w:val="28"/>
          <w:szCs w:val="28"/>
        </w:rPr>
        <w:t xml:space="preserve">проекта соглашения о перераспределении земель и (или) земельных участков,  для проведения кадастровых работ в  целях государственного кадастрового учета земельных участков;  </w:t>
      </w:r>
      <w:r>
        <w:rPr>
          <w:rFonts w:cs="Times New Roman" w:ascii="Times New Roman" w:hAnsi="Times New Roman"/>
          <w:sz w:val="28"/>
          <w:szCs w:val="28"/>
        </w:rPr>
        <w:t>л</w:t>
      </w:r>
      <w:r>
        <w:rPr>
          <w:rFonts w:cs="Times New Roman" w:ascii="Times New Roman" w:hAnsi="Times New Roman"/>
          <w:sz w:val="28"/>
          <w:szCs w:val="28"/>
        </w:rPr>
        <w:t>ибо направления заявителю уведомления об отказе в заключении соглашения о перераспределении земель и (или) земельных участков  – не более 14 дней;</w:t>
      </w:r>
    </w:p>
    <w:p>
      <w:pPr>
        <w:pStyle w:val="12"/>
        <w:tabs>
          <w:tab w:val="clear" w:pos="708"/>
          <w:tab w:val="left" w:pos="782" w:leader="none"/>
        </w:tabs>
        <w:ind w:firstLine="540"/>
        <w:jc w:val="both"/>
        <w:rPr>
          <w:rFonts w:ascii="Times New Roman" w:hAnsi="Times New Roman"/>
          <w:sz w:val="28"/>
          <w:szCs w:val="28"/>
        </w:rPr>
      </w:pPr>
      <w:r>
        <w:rPr>
          <w:rFonts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г. № 137-ФЗ «О введении в действие Земельного кодекса Российской Федерации», срок, предусмотренный вторым абзацем  настоящего подраздела, может быть продлен, но не более чем до 45 календарных дней со дня поступления заявления   о перераспределении земель и (или) земельных участков</w:t>
      </w:r>
      <w:r>
        <w:rPr>
          <w:rFonts w:cs="Times New Roman"/>
          <w:sz w:val="28"/>
          <w:szCs w:val="28"/>
        </w:rPr>
        <w:t>.</w:t>
      </w:r>
    </w:p>
    <w:p>
      <w:pPr>
        <w:pStyle w:val="ConsPlusNormal"/>
        <w:tabs>
          <w:tab w:val="clear" w:pos="708"/>
          <w:tab w:val="left" w:pos="782" w:leader="none"/>
        </w:tabs>
        <w:ind w:firstLine="540"/>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второй этап предоставления муниципальной услуги</w:t>
      </w:r>
    </w:p>
    <w:p>
      <w:pPr>
        <w:pStyle w:val="ConsPlusNormal"/>
        <w:ind w:firstLine="540"/>
        <w:jc w:val="both"/>
        <w:rPr/>
      </w:pPr>
      <w:r>
        <w:rPr>
          <w:rFonts w:cs="Times New Roman" w:ascii="Times New Roman" w:hAnsi="Times New Roman"/>
          <w:sz w:val="28"/>
          <w:szCs w:val="28"/>
        </w:rPr>
        <w:t xml:space="preserve">с даты регистрации представленного заявителем в КУИ выписки из Единого государственного реестра недвижимости (далее – ЕГРН) перераспределенного земельного участка с приложением документов, предусмотренных </w:t>
      </w:r>
      <w:hyperlink w:anchor="P169">
        <w:r>
          <w:rPr>
            <w:rFonts w:cs="Times New Roman" w:ascii="Times New Roman" w:hAnsi="Times New Roman"/>
            <w:color w:val="0000FF"/>
            <w:sz w:val="28"/>
            <w:szCs w:val="28"/>
          </w:rPr>
          <w:t xml:space="preserve"> пунктом 1</w:t>
        </w:r>
      </w:hyperlink>
      <w:r>
        <w:rPr>
          <w:rFonts w:cs="Times New Roman" w:ascii="Times New Roman" w:hAnsi="Times New Roman"/>
          <w:color w:val="0000FF"/>
          <w:sz w:val="28"/>
          <w:szCs w:val="28"/>
        </w:rPr>
        <w:t>5, 16</w:t>
      </w:r>
      <w:r>
        <w:rPr>
          <w:rFonts w:cs="Times New Roman" w:ascii="Times New Roman" w:hAnsi="Times New Roman"/>
          <w:sz w:val="28"/>
          <w:szCs w:val="28"/>
        </w:rPr>
        <w:t xml:space="preserve"> настоящего Административного регламента, до даты выдачи заявителю подписанного соглашения о перераспределении земель и (или) земельных участков – не более 30 дней.</w:t>
      </w:r>
    </w:p>
    <w:p>
      <w:pPr>
        <w:pStyle w:val="ConsPlusNormal"/>
        <w:ind w:firstLine="540"/>
        <w:jc w:val="both"/>
        <w:rPr>
          <w:rFonts w:ascii="Times New Roman" w:hAnsi="Times New Roman"/>
          <w:sz w:val="28"/>
          <w:szCs w:val="28"/>
        </w:rPr>
      </w:pPr>
      <w:r>
        <w:rPr>
          <w:rFonts w:cs="Times New Roman" w:ascii="Times New Roman" w:hAnsi="Times New Roman"/>
          <w:sz w:val="28"/>
          <w:szCs w:val="28"/>
        </w:rPr>
        <w:t>В срок предоставления муниципальной услуги не включается период с даты выдачи заявителю решения об утверждении схемы расположения земельного участка, либо проекта соглашения о перераспределении земель и (или) земельных участков до даты регистрации представленной заявителем в КУИ выписки из ЕГРН перераспределенного земельного участка.</w:t>
      </w:r>
    </w:p>
    <w:p>
      <w:pPr>
        <w:pStyle w:val="ConsPlusNormal"/>
        <w:ind w:firstLine="540"/>
        <w:jc w:val="both"/>
        <w:rPr>
          <w:rFonts w:ascii="Times New Roman" w:hAnsi="Times New Roman"/>
          <w:sz w:val="28"/>
          <w:szCs w:val="28"/>
        </w:rPr>
      </w:pPr>
      <w:r>
        <w:rPr>
          <w:rFonts w:cs="Times New Roman" w:ascii="Times New Roman" w:hAnsi="Times New Roman"/>
          <w:sz w:val="28"/>
          <w:szCs w:val="28"/>
        </w:rPr>
        <w:t>При подаче заявления о предоставлении муниципальной услуги через МФЦ срок оказания услуги исчисляется со дня регистрации соответствующего заявления в КУИ</w:t>
      </w:r>
      <w:r>
        <w:rPr>
          <w:rFonts w:ascii="Times New Roman" w:hAnsi="Times New Roman"/>
          <w:sz w:val="28"/>
          <w:szCs w:val="28"/>
        </w:rPr>
        <w:t xml:space="preserve">.    </w:t>
      </w:r>
    </w:p>
    <w:p>
      <w:pPr>
        <w:pStyle w:val="ConsPlusNormal"/>
        <w:ind w:hanging="0"/>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Приостановление срока предоставления муниципальной услуги не предусмотрено. </w:t>
      </w:r>
    </w:p>
    <w:p>
      <w:pPr>
        <w:pStyle w:val="ConsPlusTitle"/>
        <w:numPr>
          <w:ilvl w:val="0"/>
          <w:numId w:val="0"/>
        </w:numPr>
        <w:ind w:left="0" w:hanging="0"/>
        <w:jc w:val="both"/>
        <w:outlineLvl w:val="0"/>
        <w:rPr>
          <w:rFonts w:ascii="Times New Roman" w:hAnsi="Times New Roman"/>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Срок выдачи (направления) документов, являющихся результатом предоставления муниципальной услуги, составляет 3 рабочих дня».</w:t>
      </w:r>
    </w:p>
    <w:p>
      <w:pPr>
        <w:pStyle w:val="ConsPlusTitle"/>
        <w:widowControl w:val="false"/>
        <w:numPr>
          <w:ilvl w:val="0"/>
          <w:numId w:val="0"/>
        </w:numPr>
        <w:bidi w:val="0"/>
        <w:spacing w:lineRule="auto" w:line="240" w:before="0" w:after="0"/>
        <w:ind w:left="0" w:right="-113" w:hanging="0"/>
        <w:jc w:val="both"/>
        <w:outlineLvl w:val="0"/>
        <w:rPr>
          <w:rFonts w:ascii="Times New Roman" w:hAnsi="Times New Roman"/>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 xml:space="preserve">1.2.  Пункт </w:t>
      </w:r>
      <w:r>
        <w:rPr>
          <w:rFonts w:cs="Times New Roman" w:ascii="Times New Roman" w:hAnsi="Times New Roman"/>
          <w:b w:val="false"/>
          <w:sz w:val="28"/>
          <w:szCs w:val="28"/>
          <w:shd w:fill="FFFFFF" w:val="clear"/>
        </w:rPr>
        <w:t>76 изложить в следующей редакции:</w:t>
      </w:r>
    </w:p>
    <w:p>
      <w:pPr>
        <w:pStyle w:val="ConsPlusTitle"/>
        <w:widowControl w:val="false"/>
        <w:numPr>
          <w:ilvl w:val="0"/>
          <w:numId w:val="0"/>
        </w:numPr>
        <w:bidi w:val="0"/>
        <w:spacing w:lineRule="auto" w:line="240" w:before="0" w:after="0"/>
        <w:ind w:left="0" w:right="-113" w:hanging="0"/>
        <w:jc w:val="both"/>
        <w:outlineLvl w:val="0"/>
        <w:rPr>
          <w:rFonts w:ascii="Times New Roman" w:hAnsi="Times New Roman"/>
          <w:sz w:val="28"/>
          <w:szCs w:val="28"/>
        </w:rPr>
      </w:pPr>
      <w:r>
        <w:rPr>
          <w:rFonts w:cs="Times New Roman" w:ascii="Times New Roman" w:hAnsi="Times New Roman"/>
          <w:b w:val="false"/>
          <w:sz w:val="28"/>
          <w:szCs w:val="28"/>
          <w:shd w:fill="FFFFFF" w:val="clear"/>
        </w:rPr>
        <w:t xml:space="preserve"> </w:t>
      </w:r>
      <w:r>
        <w:rPr>
          <w:rFonts w:cs="Times New Roman" w:ascii="Times New Roman" w:hAnsi="Times New Roman"/>
          <w:b w:val="false"/>
          <w:sz w:val="28"/>
          <w:szCs w:val="28"/>
          <w:shd w:fill="FFFFFF" w:val="clear"/>
        </w:rPr>
        <w:t>«</w:t>
      </w:r>
      <w:r>
        <w:rPr>
          <w:rFonts w:cs="Times New Roman" w:ascii="Times New Roman" w:hAnsi="Times New Roman"/>
          <w:b w:val="false"/>
          <w:sz w:val="28"/>
          <w:szCs w:val="28"/>
          <w:shd w:fill="FFFFFF" w:val="clear"/>
          <w:lang w:eastAsia="en-US"/>
        </w:rPr>
        <w:t>Заявитель</w:t>
      </w:r>
      <w:r>
        <w:rPr>
          <w:rFonts w:cs="Times New Roman" w:ascii="Times New Roman" w:hAnsi="Times New Roman"/>
          <w:b w:val="false"/>
          <w:sz w:val="28"/>
          <w:szCs w:val="28"/>
          <w:lang w:eastAsia="en-US"/>
        </w:rPr>
        <w:t xml:space="preserve"> вправе обжаловать решения и действия (бездействие), принятые в ходе предоставления муниципальной услуги исполнительным органом государственной власти Свердловской области,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Pr>
          <w:rFonts w:cs="Times New Roman" w:ascii="Times New Roman" w:hAnsi="Times New Roman"/>
          <w:b w:val="false"/>
          <w:sz w:val="28"/>
          <w:szCs w:val="28"/>
        </w:rPr>
        <w:t>предоставления государственных и муниципальных услуг</w:t>
      </w:r>
      <w:r>
        <w:rPr>
          <w:rFonts w:cs="Times New Roman" w:ascii="Times New Roman" w:hAnsi="Times New Roman"/>
          <w:b w:val="false"/>
          <w:sz w:val="28"/>
          <w:szCs w:val="28"/>
          <w:lang w:eastAsia="en-US"/>
        </w:rPr>
        <w:t xml:space="preserve"> в досудебном (внесудебном) порядке в случаях, предусмотренных статьей 11.1 Федерального закона от 27.07.2010 № 210-ФЗ.</w:t>
      </w:r>
    </w:p>
    <w:p>
      <w:pPr>
        <w:pStyle w:val="Normal"/>
        <w:spacing w:lineRule="auto" w:line="240" w:before="0" w:after="0"/>
        <w:ind w:right="-142" w:hanging="0"/>
        <w:jc w:val="both"/>
        <w:rPr>
          <w:rFonts w:ascii="Times New Roman" w:hAnsi="Times New Roman"/>
          <w:b w:val="false"/>
          <w:b w:val="false"/>
          <w:i w:val="false"/>
          <w:i w:val="false"/>
          <w:caps w:val="false"/>
          <w:smallCaps w:val="false"/>
          <w:color w:val="000000"/>
          <w:spacing w:val="0"/>
          <w:sz w:val="23"/>
        </w:rPr>
      </w:pPr>
      <w:r>
        <w:rPr>
          <w:b w:val="false"/>
          <w:bCs/>
          <w:i w:val="false"/>
          <w:caps w:val="false"/>
          <w:smallCaps w:val="false"/>
          <w:color w:val="000000"/>
          <w:spacing w:val="0"/>
          <w:sz w:val="23"/>
          <w:lang w:eastAsia="en-US"/>
        </w:rPr>
        <w:t xml:space="preserve">      </w:t>
      </w:r>
      <w:r>
        <w:rPr>
          <w:b w:val="false"/>
          <w:bCs/>
          <w:i w:val="false"/>
          <w:caps w:val="false"/>
          <w:smallCaps w:val="false"/>
          <w:color w:val="000000"/>
          <w:spacing w:val="0"/>
          <w:sz w:val="28"/>
          <w:szCs w:val="28"/>
          <w:lang w:eastAsia="en-US"/>
        </w:rPr>
        <w:t xml:space="preserve">Заявитель имеет право на обжалование решения и (или) действий  </w:t>
      </w:r>
      <w:r>
        <w:rPr>
          <w:b w:val="false"/>
          <w:i w:val="false"/>
          <w:caps w:val="false"/>
          <w:smallCaps w:val="false"/>
          <w:color w:val="000000"/>
          <w:spacing w:val="0"/>
          <w:sz w:val="28"/>
          <w:szCs w:val="28"/>
        </w:rPr>
        <w:t>(бездействия)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Заявитель может обратиться с жалобой, в том числе в следующих случаях:</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1) нарушение срока регистрации заявления о предоставлении муниципальной услуги;</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2) нарушение срока предоставления государственной или муниципальной услуги;</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8) нарушение срока или порядка выдачи документов по результатам предоставления муниципальной услуги;</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Normal"/>
        <w:widowControl w:val="false"/>
        <w:jc w:val="both"/>
        <w:rPr>
          <w:sz w:val="28"/>
          <w:szCs w:val="28"/>
        </w:rPr>
      </w:pPr>
      <w:r>
        <w:rPr>
          <w:sz w:val="28"/>
          <w:szCs w:val="28"/>
        </w:rPr>
        <w:t xml:space="preserve">    </w:t>
      </w:r>
      <w:r>
        <w:rPr>
          <w:sz w:val="28"/>
          <w:szCs w:val="28"/>
        </w:rPr>
        <w:t>2. Настоящее постановление опубликовать в «Муниципальном вестнике» газеты "Артинские вести" и разместить на официальном Интернет-сайте Администрации Артинского городского округа.</w:t>
      </w:r>
    </w:p>
    <w:p>
      <w:pPr>
        <w:pStyle w:val="Normal"/>
        <w:widowControl w:val="false"/>
        <w:ind w:firstLine="540"/>
        <w:jc w:val="both"/>
        <w:rPr>
          <w:sz w:val="28"/>
          <w:szCs w:val="28"/>
        </w:rPr>
      </w:pPr>
      <w:r>
        <w:rPr>
          <w:sz w:val="28"/>
          <w:szCs w:val="28"/>
        </w:rPr>
        <w:t>3. Контроль за исполнением настоящего постановления возложить на заместителя Главы Артинского городского округа В.Н. Мотыхляева.</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Глава Артинского городского округа                                       А.А. Константинов</w:t>
      </w:r>
    </w:p>
    <w:p>
      <w:pPr>
        <w:pStyle w:val="Normal"/>
        <w:jc w:val="center"/>
        <w:rPr>
          <w:b/>
          <w:b/>
        </w:rPr>
      </w:pPr>
      <w:r>
        <w:rPr>
          <w:b/>
        </w:rPr>
      </w:r>
    </w:p>
    <w:p>
      <w:pPr>
        <w:pStyle w:val="Normal"/>
        <w:jc w:val="center"/>
        <w:rPr>
          <w:b/>
          <w:b/>
        </w:rPr>
      </w:pPr>
      <w:r>
        <w:rPr>
          <w:b/>
        </w:rPr>
      </w:r>
    </w:p>
    <w:p>
      <w:pPr>
        <w:pStyle w:val="Normal"/>
        <w:jc w:val="center"/>
        <w:rPr>
          <w:b/>
          <w:b/>
        </w:rPr>
      </w:pPr>
      <w:r>
        <w:rPr>
          <w:b/>
        </w:rPr>
        <w:t>С О Г Л А С О В А Н И Е</w:t>
      </w:r>
    </w:p>
    <w:p>
      <w:pPr>
        <w:pStyle w:val="Normal"/>
        <w:jc w:val="center"/>
        <w:rPr/>
      </w:pPr>
      <w:r>
        <w:rPr/>
        <w:t>Постановления Администрации Артинского городского округа</w:t>
      </w:r>
    </w:p>
    <w:p>
      <w:pPr>
        <w:pStyle w:val="Normal"/>
        <w:tabs>
          <w:tab w:val="clear" w:pos="708"/>
          <w:tab w:val="left" w:pos="1638" w:leader="none"/>
        </w:tabs>
        <w:jc w:val="center"/>
        <w:rPr/>
      </w:pPr>
      <w:r>
        <w:rPr/>
      </w:r>
    </w:p>
    <w:tbl>
      <w:tblPr>
        <w:tblW w:w="9730" w:type="dxa"/>
        <w:jc w:val="left"/>
        <w:tblInd w:w="109" w:type="dxa"/>
        <w:tblLayout w:type="fixed"/>
        <w:tblCellMar>
          <w:top w:w="0" w:type="dxa"/>
          <w:left w:w="108" w:type="dxa"/>
          <w:bottom w:w="0" w:type="dxa"/>
          <w:right w:w="108" w:type="dxa"/>
        </w:tblCellMar>
        <w:tblLook w:val="04a0"/>
      </w:tblPr>
      <w:tblGrid>
        <w:gridCol w:w="2977"/>
        <w:gridCol w:w="2126"/>
        <w:gridCol w:w="1108"/>
        <w:gridCol w:w="1744"/>
        <w:gridCol w:w="1775"/>
      </w:tblGrid>
      <w:tr>
        <w:trPr>
          <w:cantSplit w:val="true"/>
        </w:trPr>
        <w:tc>
          <w:tcPr>
            <w:tcW w:w="2977"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pPr>
            <w:r>
              <w:rPr/>
              <w:t>Должность</w:t>
            </w:r>
          </w:p>
        </w:tc>
        <w:tc>
          <w:tcPr>
            <w:tcW w:w="2126" w:type="dxa"/>
            <w:vMerge w:val="restart"/>
            <w:tcBorders>
              <w:top w:val="single" w:sz="4" w:space="0" w:color="000000"/>
              <w:left w:val="single" w:sz="4" w:space="0" w:color="000000"/>
              <w:bottom w:val="single" w:sz="4" w:space="0" w:color="000000"/>
            </w:tcBorders>
          </w:tcPr>
          <w:p>
            <w:pPr>
              <w:pStyle w:val="Normal"/>
              <w:widowControl w:val="false"/>
              <w:snapToGrid w:val="false"/>
              <w:jc w:val="center"/>
              <w:rPr/>
            </w:pPr>
            <w:r>
              <w:rPr/>
              <w:t>Фамилия и</w:t>
            </w:r>
          </w:p>
          <w:p>
            <w:pPr>
              <w:pStyle w:val="Normal"/>
              <w:widowControl w:val="false"/>
              <w:jc w:val="center"/>
              <w:rPr/>
            </w:pPr>
            <w:r>
              <w:rPr/>
              <w:t>инициалы</w:t>
            </w:r>
          </w:p>
        </w:tc>
        <w:tc>
          <w:tcPr>
            <w:tcW w:w="462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t>Сроки и результаты согласования</w:t>
            </w:r>
          </w:p>
        </w:tc>
      </w:tr>
      <w:tr>
        <w:trPr>
          <w:cantSplit w:val="true"/>
        </w:trPr>
        <w:tc>
          <w:tcPr>
            <w:tcW w:w="2977" w:type="dxa"/>
            <w:vMerge w:val="continue"/>
            <w:tcBorders>
              <w:top w:val="single" w:sz="4" w:space="0" w:color="000000"/>
              <w:left w:val="single" w:sz="4" w:space="0" w:color="000000"/>
              <w:bottom w:val="single" w:sz="4" w:space="0" w:color="000000"/>
            </w:tcBorders>
            <w:vAlign w:val="center"/>
          </w:tcPr>
          <w:p>
            <w:pPr>
              <w:pStyle w:val="Normal"/>
              <w:widowControl w:val="false"/>
              <w:rPr/>
            </w:pPr>
            <w:r>
              <w:rPr/>
            </w:r>
          </w:p>
        </w:tc>
        <w:tc>
          <w:tcPr>
            <w:tcW w:w="2126" w:type="dxa"/>
            <w:vMerge w:val="continue"/>
            <w:tcBorders>
              <w:top w:val="single" w:sz="4" w:space="0" w:color="000000"/>
              <w:left w:val="single" w:sz="4" w:space="0" w:color="000000"/>
              <w:bottom w:val="single" w:sz="4" w:space="0" w:color="000000"/>
            </w:tcBorders>
            <w:vAlign w:val="center"/>
          </w:tcPr>
          <w:p>
            <w:pPr>
              <w:pStyle w:val="Normal"/>
              <w:widowControl w:val="false"/>
              <w:rPr/>
            </w:pPr>
            <w:r>
              <w:rPr/>
            </w:r>
          </w:p>
        </w:tc>
        <w:tc>
          <w:tcPr>
            <w:tcW w:w="1108" w:type="dxa"/>
            <w:tcBorders>
              <w:top w:val="single" w:sz="4" w:space="0" w:color="000000"/>
              <w:left w:val="single" w:sz="4" w:space="0" w:color="000000"/>
              <w:bottom w:val="single" w:sz="4" w:space="0" w:color="000000"/>
            </w:tcBorders>
          </w:tcPr>
          <w:p>
            <w:pPr>
              <w:pStyle w:val="Normal"/>
              <w:widowControl w:val="false"/>
              <w:snapToGrid w:val="false"/>
              <w:jc w:val="center"/>
              <w:rPr/>
            </w:pPr>
            <w:r>
              <w:rPr/>
              <w:t>Дата</w:t>
            </w:r>
          </w:p>
        </w:tc>
        <w:tc>
          <w:tcPr>
            <w:tcW w:w="1744" w:type="dxa"/>
            <w:tcBorders>
              <w:top w:val="single" w:sz="4" w:space="0" w:color="000000"/>
              <w:left w:val="single" w:sz="4" w:space="0" w:color="000000"/>
              <w:bottom w:val="single" w:sz="4" w:space="0" w:color="000000"/>
            </w:tcBorders>
          </w:tcPr>
          <w:p>
            <w:pPr>
              <w:pStyle w:val="Normal"/>
              <w:widowControl w:val="false"/>
              <w:snapToGrid w:val="false"/>
              <w:jc w:val="center"/>
              <w:rPr/>
            </w:pPr>
            <w:r>
              <w:rPr/>
              <w:t>Замечания</w:t>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t>Подпись</w:t>
            </w:r>
          </w:p>
        </w:tc>
      </w:tr>
      <w:tr>
        <w:trPr>
          <w:cantSplit w:val="true"/>
        </w:trPr>
        <w:tc>
          <w:tcPr>
            <w:tcW w:w="2977" w:type="dxa"/>
            <w:tcBorders>
              <w:top w:val="single" w:sz="4" w:space="0" w:color="000000"/>
              <w:left w:val="single" w:sz="4" w:space="0" w:color="000000"/>
              <w:bottom w:val="single" w:sz="4" w:space="0" w:color="000000"/>
            </w:tcBorders>
            <w:vAlign w:val="center"/>
          </w:tcPr>
          <w:p>
            <w:pPr>
              <w:pStyle w:val="Normal"/>
              <w:widowControl w:val="false"/>
              <w:rPr/>
            </w:pPr>
            <w:r>
              <w:rPr/>
              <w:t>Зам. Главы АГО</w:t>
            </w:r>
          </w:p>
          <w:p>
            <w:pPr>
              <w:pStyle w:val="Normal"/>
              <w:widowControl w:val="false"/>
              <w:rPr/>
            </w:pPr>
            <w:r>
              <w:rPr/>
            </w:r>
          </w:p>
        </w:tc>
        <w:tc>
          <w:tcPr>
            <w:tcW w:w="2126" w:type="dxa"/>
            <w:tcBorders>
              <w:top w:val="single" w:sz="4" w:space="0" w:color="000000"/>
              <w:left w:val="single" w:sz="4" w:space="0" w:color="000000"/>
              <w:bottom w:val="single" w:sz="4" w:space="0" w:color="000000"/>
            </w:tcBorders>
            <w:vAlign w:val="center"/>
          </w:tcPr>
          <w:p>
            <w:pPr>
              <w:pStyle w:val="Normal"/>
              <w:widowControl w:val="false"/>
              <w:rPr/>
            </w:pPr>
            <w:bookmarkStart w:id="0" w:name="_GoBack"/>
            <w:bookmarkEnd w:id="0"/>
            <w:r>
              <w:rPr/>
              <w:t>Мотыхляев В.Н.</w:t>
            </w:r>
          </w:p>
        </w:tc>
        <w:tc>
          <w:tcPr>
            <w:tcW w:w="1108" w:type="dxa"/>
            <w:tcBorders>
              <w:top w:val="single" w:sz="4" w:space="0" w:color="000000"/>
              <w:left w:val="single" w:sz="4" w:space="0" w:color="000000"/>
              <w:bottom w:val="single" w:sz="4" w:space="0" w:color="000000"/>
            </w:tcBorders>
          </w:tcPr>
          <w:p>
            <w:pPr>
              <w:pStyle w:val="Normal"/>
              <w:widowControl w:val="false"/>
              <w:snapToGrid w:val="false"/>
              <w:jc w:val="center"/>
              <w:rPr/>
            </w:pPr>
            <w:r>
              <w:rPr/>
            </w:r>
          </w:p>
        </w:tc>
        <w:tc>
          <w:tcPr>
            <w:tcW w:w="1744" w:type="dxa"/>
            <w:tcBorders>
              <w:top w:val="single" w:sz="4" w:space="0" w:color="000000"/>
              <w:left w:val="single" w:sz="4" w:space="0" w:color="000000"/>
              <w:bottom w:val="single" w:sz="4" w:space="0" w:color="000000"/>
            </w:tcBorders>
          </w:tcPr>
          <w:p>
            <w:pPr>
              <w:pStyle w:val="Normal"/>
              <w:widowControl w:val="false"/>
              <w:snapToGrid w:val="false"/>
              <w:jc w:val="center"/>
              <w:rPr/>
            </w:pPr>
            <w:r>
              <w:rPr/>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r>
          </w:p>
        </w:tc>
      </w:tr>
      <w:tr>
        <w:trPr/>
        <w:tc>
          <w:tcPr>
            <w:tcW w:w="2977" w:type="dxa"/>
            <w:tcBorders>
              <w:top w:val="single" w:sz="4" w:space="0" w:color="000000"/>
              <w:left w:val="single" w:sz="4" w:space="0" w:color="000000"/>
              <w:bottom w:val="single" w:sz="4" w:space="0" w:color="000000"/>
            </w:tcBorders>
          </w:tcPr>
          <w:p>
            <w:pPr>
              <w:pStyle w:val="Normal"/>
              <w:widowControl w:val="false"/>
              <w:snapToGrid w:val="false"/>
              <w:rPr/>
            </w:pPr>
            <w:r>
              <w:rPr/>
              <w:t>Зав. юридическим отделом Администрации АГО</w:t>
            </w:r>
          </w:p>
        </w:tc>
        <w:tc>
          <w:tcPr>
            <w:tcW w:w="2126" w:type="dxa"/>
            <w:tcBorders>
              <w:top w:val="single" w:sz="4" w:space="0" w:color="000000"/>
              <w:left w:val="single" w:sz="4" w:space="0" w:color="000000"/>
              <w:bottom w:val="single" w:sz="4" w:space="0" w:color="000000"/>
            </w:tcBorders>
          </w:tcPr>
          <w:p>
            <w:pPr>
              <w:pStyle w:val="Normal"/>
              <w:widowControl w:val="false"/>
              <w:snapToGrid w:val="false"/>
              <w:rPr/>
            </w:pPr>
            <w:r>
              <w:rPr/>
            </w:r>
          </w:p>
          <w:p>
            <w:pPr>
              <w:pStyle w:val="Normal"/>
              <w:widowControl w:val="false"/>
              <w:snapToGrid w:val="false"/>
              <w:rPr/>
            </w:pPr>
            <w:r>
              <w:rPr/>
              <w:t>Редких О.М.</w:t>
            </w:r>
          </w:p>
        </w:tc>
        <w:tc>
          <w:tcPr>
            <w:tcW w:w="1108" w:type="dxa"/>
            <w:tcBorders>
              <w:top w:val="single" w:sz="4" w:space="0" w:color="000000"/>
              <w:left w:val="single" w:sz="4" w:space="0" w:color="000000"/>
              <w:bottom w:val="single" w:sz="4" w:space="0" w:color="000000"/>
            </w:tcBorders>
          </w:tcPr>
          <w:p>
            <w:pPr>
              <w:pStyle w:val="Normal"/>
              <w:widowControl w:val="false"/>
              <w:snapToGrid w:val="false"/>
              <w:rPr/>
            </w:pPr>
            <w:r>
              <w:rPr/>
            </w:r>
          </w:p>
        </w:tc>
        <w:tc>
          <w:tcPr>
            <w:tcW w:w="1744" w:type="dxa"/>
            <w:tcBorders>
              <w:top w:val="single" w:sz="4" w:space="0" w:color="000000"/>
              <w:left w:val="single" w:sz="4" w:space="0" w:color="000000"/>
              <w:bottom w:val="single" w:sz="4" w:space="0" w:color="000000"/>
            </w:tcBorders>
          </w:tcPr>
          <w:p>
            <w:pPr>
              <w:pStyle w:val="Normal"/>
              <w:widowControl w:val="false"/>
              <w:snapToGrid w:val="false"/>
              <w:rPr/>
            </w:pPr>
            <w:r>
              <w:rPr/>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r>
      <w:tr>
        <w:trPr/>
        <w:tc>
          <w:tcPr>
            <w:tcW w:w="2977" w:type="dxa"/>
            <w:tcBorders>
              <w:top w:val="single" w:sz="4" w:space="0" w:color="000000"/>
              <w:left w:val="single" w:sz="4" w:space="0" w:color="000000"/>
              <w:bottom w:val="single" w:sz="4" w:space="0" w:color="000000"/>
            </w:tcBorders>
          </w:tcPr>
          <w:p>
            <w:pPr>
              <w:pStyle w:val="Normal"/>
              <w:widowControl w:val="false"/>
              <w:snapToGrid w:val="false"/>
              <w:rPr/>
            </w:pPr>
            <w:r>
              <w:rPr/>
              <w:t>Председатель КУИ Администрации АГО</w:t>
            </w:r>
          </w:p>
          <w:p>
            <w:pPr>
              <w:pStyle w:val="Normal"/>
              <w:widowControl w:val="false"/>
              <w:snapToGrid w:val="false"/>
              <w:rPr/>
            </w:pPr>
            <w:r>
              <w:rPr/>
            </w:r>
          </w:p>
        </w:tc>
        <w:tc>
          <w:tcPr>
            <w:tcW w:w="2126" w:type="dxa"/>
            <w:tcBorders>
              <w:top w:val="single" w:sz="4" w:space="0" w:color="000000"/>
              <w:left w:val="single" w:sz="4" w:space="0" w:color="000000"/>
              <w:bottom w:val="single" w:sz="4" w:space="0" w:color="000000"/>
            </w:tcBorders>
          </w:tcPr>
          <w:p>
            <w:pPr>
              <w:pStyle w:val="Normal"/>
              <w:widowControl w:val="false"/>
              <w:snapToGrid w:val="false"/>
              <w:rPr/>
            </w:pPr>
            <w:r>
              <w:rPr/>
            </w:r>
          </w:p>
          <w:p>
            <w:pPr>
              <w:pStyle w:val="Normal"/>
              <w:widowControl w:val="false"/>
              <w:snapToGrid w:val="false"/>
              <w:rPr/>
            </w:pPr>
            <w:r>
              <w:rPr/>
              <w:t>Акулова Н.И.</w:t>
            </w:r>
          </w:p>
        </w:tc>
        <w:tc>
          <w:tcPr>
            <w:tcW w:w="1108" w:type="dxa"/>
            <w:tcBorders>
              <w:top w:val="single" w:sz="4" w:space="0" w:color="000000"/>
              <w:left w:val="single" w:sz="4" w:space="0" w:color="000000"/>
              <w:bottom w:val="single" w:sz="4" w:space="0" w:color="000000"/>
            </w:tcBorders>
          </w:tcPr>
          <w:p>
            <w:pPr>
              <w:pStyle w:val="Normal"/>
              <w:widowControl w:val="false"/>
              <w:snapToGrid w:val="false"/>
              <w:rPr/>
            </w:pPr>
            <w:r>
              <w:rPr/>
            </w:r>
          </w:p>
        </w:tc>
        <w:tc>
          <w:tcPr>
            <w:tcW w:w="1744" w:type="dxa"/>
            <w:tcBorders>
              <w:top w:val="single" w:sz="4" w:space="0" w:color="000000"/>
              <w:left w:val="single" w:sz="4" w:space="0" w:color="000000"/>
              <w:bottom w:val="single" w:sz="4" w:space="0" w:color="000000"/>
            </w:tcBorders>
          </w:tcPr>
          <w:p>
            <w:pPr>
              <w:pStyle w:val="Normal"/>
              <w:widowControl w:val="false"/>
              <w:snapToGrid w:val="false"/>
              <w:rPr/>
            </w:pPr>
            <w:r>
              <w:rPr/>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r>
    </w:tbl>
    <w:p>
      <w:pPr>
        <w:pStyle w:val="Normal"/>
        <w:rPr/>
      </w:pPr>
      <w:r>
        <w:rPr/>
      </w:r>
    </w:p>
    <w:p>
      <w:pPr>
        <w:pStyle w:val="Normal"/>
        <w:rPr/>
      </w:pPr>
      <w:r>
        <w:rPr/>
      </w:r>
    </w:p>
    <w:p>
      <w:pPr>
        <w:pStyle w:val="Normal"/>
        <w:rPr/>
      </w:pPr>
      <w:r>
        <w:rPr/>
      </w:r>
    </w:p>
    <w:p>
      <w:pPr>
        <w:pStyle w:val="Normal"/>
        <w:rPr/>
      </w:pPr>
      <w:r>
        <w:rPr/>
      </w:r>
    </w:p>
    <w:p>
      <w:pPr>
        <w:pStyle w:val="Normal"/>
        <w:tabs>
          <w:tab w:val="clear" w:pos="708"/>
          <w:tab w:val="left" w:pos="6162" w:leader="none"/>
        </w:tabs>
        <w:rPr/>
      </w:pPr>
      <w:r>
        <w:rPr/>
        <w:t>Разослано:   4 экз.</w:t>
      </w:r>
    </w:p>
    <w:p>
      <w:pPr>
        <w:pStyle w:val="Normal"/>
        <w:tabs>
          <w:tab w:val="clear" w:pos="708"/>
          <w:tab w:val="left" w:pos="6162" w:leader="none"/>
        </w:tabs>
        <w:rPr/>
      </w:pPr>
      <w:r>
        <w:rPr/>
        <w:t>в дело-1</w:t>
      </w:r>
    </w:p>
    <w:p>
      <w:pPr>
        <w:pStyle w:val="Normal"/>
        <w:tabs>
          <w:tab w:val="clear" w:pos="708"/>
          <w:tab w:val="left" w:pos="6162" w:leader="none"/>
        </w:tabs>
        <w:rPr/>
      </w:pPr>
      <w:r>
        <w:rPr/>
        <w:t>КУИ-1</w:t>
      </w:r>
    </w:p>
    <w:p>
      <w:pPr>
        <w:pStyle w:val="Normal"/>
        <w:tabs>
          <w:tab w:val="clear" w:pos="708"/>
          <w:tab w:val="left" w:pos="6162" w:leader="none"/>
        </w:tabs>
        <w:rPr/>
      </w:pPr>
      <w:r>
        <w:rPr/>
        <w:t>Архитектура - 1</w:t>
      </w:r>
    </w:p>
    <w:p>
      <w:pPr>
        <w:pStyle w:val="Normal"/>
        <w:tabs>
          <w:tab w:val="clear" w:pos="708"/>
          <w:tab w:val="left" w:pos="6162" w:leader="none"/>
        </w:tabs>
        <w:rPr/>
      </w:pPr>
      <w:r>
        <w:rPr/>
        <w:t>МФЦ – 1</w:t>
      </w:r>
    </w:p>
    <w:p>
      <w:pPr>
        <w:pStyle w:val="Normal"/>
        <w:tabs>
          <w:tab w:val="clear" w:pos="708"/>
          <w:tab w:val="left" w:pos="6162" w:leader="none"/>
        </w:tabs>
        <w:rPr/>
      </w:pPr>
      <w:r>
        <w:rPr/>
        <w:t>Прокуратура – 1</w:t>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r>
    </w:p>
    <w:p>
      <w:pPr>
        <w:pStyle w:val="Normal"/>
        <w:tabs>
          <w:tab w:val="clear" w:pos="708"/>
          <w:tab w:val="left" w:pos="6162" w:leader="none"/>
        </w:tabs>
        <w:rPr/>
      </w:pPr>
      <w:r>
        <w:rPr/>
        <w:t>Исп.:  Щепочкина С..А.</w:t>
      </w:r>
    </w:p>
    <w:p>
      <w:pPr>
        <w:pStyle w:val="Normal"/>
        <w:tabs>
          <w:tab w:val="clear" w:pos="708"/>
          <w:tab w:val="left" w:pos="6162" w:leader="none"/>
        </w:tabs>
        <w:rPr/>
      </w:pPr>
      <w:r>
        <w:rPr/>
        <w:t>Тел.: 8 (34391) 2-13-30</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r>
    </w:p>
    <w:p>
      <w:pPr>
        <w:pStyle w:val="Normal"/>
        <w:rPr/>
      </w:pPr>
      <w:r>
        <w:rPr/>
      </w:r>
    </w:p>
    <w:sectPr>
      <w:type w:val="nextPage"/>
      <w:pgSz w:w="11906" w:h="16838"/>
      <w:pgMar w:left="1418" w:right="851" w:gutter="0" w:header="0" w:top="426" w:footer="0" w:bottom="1134"/>
      <w:pgNumType w:start="3"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color w:val="000000"/>
      </w:rPr>
    </w:lvl>
    <w:lvl w:ilvl="1">
      <w:start w:val="1"/>
      <w:numFmt w:val="lowerLetter"/>
      <w:lvlText w:val="%2."/>
      <w:lvlJc w:val="left"/>
      <w:pPr>
        <w:tabs>
          <w:tab w:val="num" w:pos="851"/>
        </w:tabs>
        <w:ind w:left="1080" w:hanging="360"/>
      </w:pPr>
      <w:rPr>
        <w:color w:val="000000"/>
      </w:rPr>
    </w:lvl>
    <w:lvl w:ilvl="2">
      <w:start w:val="1"/>
      <w:numFmt w:val="lowerRoman"/>
      <w:lvlText w:val="%3."/>
      <w:lvlJc w:val="right"/>
      <w:pPr>
        <w:tabs>
          <w:tab w:val="num" w:pos="851"/>
        </w:tabs>
        <w:ind w:left="1800" w:hanging="180"/>
      </w:pPr>
    </w:lvl>
    <w:lvl w:ilvl="3">
      <w:start w:val="1"/>
      <w:numFmt w:val="decimal"/>
      <w:lvlText w:val="%4."/>
      <w:lvlJc w:val="left"/>
      <w:pPr>
        <w:tabs>
          <w:tab w:val="num" w:pos="851"/>
        </w:tabs>
        <w:ind w:left="2520" w:hanging="360"/>
      </w:pPr>
    </w:lvl>
    <w:lvl w:ilvl="4">
      <w:start w:val="1"/>
      <w:numFmt w:val="lowerLetter"/>
      <w:lvlText w:val="%5."/>
      <w:lvlJc w:val="left"/>
      <w:pPr>
        <w:tabs>
          <w:tab w:val="num" w:pos="2520"/>
        </w:tabs>
        <w:ind w:left="3240" w:hanging="360"/>
      </w:pPr>
    </w:lvl>
    <w:lvl w:ilvl="5">
      <w:start w:val="1"/>
      <w:numFmt w:val="lowerRoman"/>
      <w:lvlText w:val="%6."/>
      <w:lvlJc w:val="right"/>
      <w:pPr>
        <w:tabs>
          <w:tab w:val="num" w:pos="2880"/>
        </w:tabs>
        <w:ind w:left="3960" w:hanging="180"/>
      </w:pPr>
    </w:lvl>
    <w:lvl w:ilvl="6">
      <w:start w:val="1"/>
      <w:numFmt w:val="decimal"/>
      <w:lvlText w:val="%7."/>
      <w:lvlJc w:val="left"/>
      <w:pPr>
        <w:tabs>
          <w:tab w:val="num" w:pos="3600"/>
        </w:tabs>
        <w:ind w:left="4680" w:hanging="360"/>
      </w:pPr>
    </w:lvl>
    <w:lvl w:ilvl="7">
      <w:start w:val="1"/>
      <w:numFmt w:val="lowerLetter"/>
      <w:lvlText w:val="%8."/>
      <w:lvlJc w:val="left"/>
      <w:pPr>
        <w:tabs>
          <w:tab w:val="num" w:pos="3960"/>
        </w:tabs>
        <w:ind w:left="5400" w:hanging="360"/>
      </w:pPr>
    </w:lvl>
    <w:lvl w:ilvl="8">
      <w:start w:val="1"/>
      <w:numFmt w:val="lowerRoman"/>
      <w:lvlText w:val="%9."/>
      <w:lvlJc w:val="right"/>
      <w:pPr>
        <w:tabs>
          <w:tab w:val="num" w:pos="4680"/>
        </w:tabs>
        <w:ind w:left="612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3" w:uiPriority="0"/>
    <w:lsdException w:name="Body Text Indent 2" w:uiPriority="0"/>
    <w:lsdException w:name="Body Text Indent 3" w:uiPriority="0"/>
    <w:lsdException w:name="Hyperlink" w:uiPriority="0"/>
    <w:lsdException w:name="Strong" w:uiPriority="22" w:semiHidden="0" w:unhideWhenUsed="0" w:qFormat="1"/>
    <w:lsdException w:name="Emphasis" w:uiPriority="20" w:semiHidden="0" w:unhideWhenUsed="0" w:qFormat="1"/>
    <w:lsdException w:name="No List" w:uiPriority="0"/>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10c8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rsid w:val="00e10c82"/>
    <w:rPr>
      <w:color w:val="0000FF"/>
      <w:u w:val="single"/>
    </w:rPr>
  </w:style>
  <w:style w:type="character" w:styleId="Style15" w:customStyle="1">
    <w:name w:val="Верхний колонтитул Знак"/>
    <w:basedOn w:val="DefaultParagraphFont"/>
    <w:link w:val="a4"/>
    <w:uiPriority w:val="99"/>
    <w:qFormat/>
    <w:rsid w:val="00e10c82"/>
    <w:rPr>
      <w:rFonts w:ascii="Times New Roman" w:hAnsi="Times New Roman" w:eastAsia="Times New Roman" w:cs="Times New Roman"/>
      <w:sz w:val="24"/>
      <w:szCs w:val="24"/>
      <w:lang w:eastAsia="ru-RU"/>
    </w:rPr>
  </w:style>
  <w:style w:type="character" w:styleId="Pagenumber">
    <w:name w:val="page number"/>
    <w:basedOn w:val="DefaultParagraphFont"/>
    <w:qFormat/>
    <w:rsid w:val="00e10c82"/>
    <w:rPr/>
  </w:style>
  <w:style w:type="character" w:styleId="2" w:customStyle="1">
    <w:name w:val="Основной текст с отступом 2 Знак"/>
    <w:basedOn w:val="DefaultParagraphFont"/>
    <w:link w:val="2"/>
    <w:qFormat/>
    <w:rsid w:val="00e10c82"/>
    <w:rPr>
      <w:rFonts w:ascii="Times New Roman" w:hAnsi="Times New Roman" w:eastAsia="Times New Roman" w:cs="Times New Roman"/>
      <w:sz w:val="28"/>
      <w:szCs w:val="24"/>
      <w:lang w:eastAsia="ru-RU"/>
    </w:rPr>
  </w:style>
  <w:style w:type="character" w:styleId="Style16" w:customStyle="1">
    <w:name w:val="Основной текст Знак"/>
    <w:basedOn w:val="DefaultParagraphFont"/>
    <w:link w:val="a7"/>
    <w:qFormat/>
    <w:rsid w:val="00e10c82"/>
    <w:rPr>
      <w:rFonts w:ascii="Times New Roman" w:hAnsi="Times New Roman" w:eastAsia="Times New Roman" w:cs="Times New Roman"/>
      <w:sz w:val="28"/>
      <w:szCs w:val="24"/>
      <w:lang w:eastAsia="ru-RU"/>
    </w:rPr>
  </w:style>
  <w:style w:type="character" w:styleId="3" w:customStyle="1">
    <w:name w:val="Основной текст с отступом 3 Знак"/>
    <w:basedOn w:val="DefaultParagraphFont"/>
    <w:link w:val="3"/>
    <w:qFormat/>
    <w:rsid w:val="00e10c82"/>
    <w:rPr>
      <w:rFonts w:ascii="Times New Roman" w:hAnsi="Times New Roman" w:eastAsia="Times New Roman" w:cs="Times New Roman"/>
      <w:sz w:val="28"/>
      <w:szCs w:val="24"/>
      <w:lang w:eastAsia="ru-RU"/>
    </w:rPr>
  </w:style>
  <w:style w:type="character" w:styleId="Style17" w:customStyle="1">
    <w:name w:val="Нижний колонтитул Знак"/>
    <w:basedOn w:val="DefaultParagraphFont"/>
    <w:link w:val="a9"/>
    <w:uiPriority w:val="99"/>
    <w:qFormat/>
    <w:rsid w:val="00e10c82"/>
    <w:rPr>
      <w:rFonts w:ascii="Times New Roman" w:hAnsi="Times New Roman" w:eastAsia="Times New Roman" w:cs="Times New Roman"/>
      <w:sz w:val="24"/>
      <w:szCs w:val="24"/>
      <w:lang w:eastAsia="ru-RU"/>
    </w:rPr>
  </w:style>
  <w:style w:type="character" w:styleId="Style18" w:customStyle="1">
    <w:name w:val="Текст выноски Знак"/>
    <w:basedOn w:val="DefaultParagraphFont"/>
    <w:link w:val="ac"/>
    <w:qFormat/>
    <w:rsid w:val="00e10c82"/>
    <w:rPr>
      <w:rFonts w:ascii="Tahoma" w:hAnsi="Tahoma" w:eastAsia="Times New Roman" w:cs="Tahoma"/>
      <w:sz w:val="16"/>
      <w:szCs w:val="16"/>
      <w:lang w:eastAsia="ru-RU"/>
    </w:rPr>
  </w:style>
  <w:style w:type="character" w:styleId="Style19" w:customStyle="1">
    <w:name w:val="Текст сноски Знак"/>
    <w:basedOn w:val="DefaultParagraphFont"/>
    <w:link w:val="ae"/>
    <w:qFormat/>
    <w:rsid w:val="00e10c82"/>
    <w:rPr>
      <w:rFonts w:ascii="Times New Roman" w:hAnsi="Times New Roman" w:eastAsia="Times New Roman" w:cs="Times New Roman"/>
      <w:sz w:val="20"/>
      <w:szCs w:val="20"/>
      <w:lang w:eastAsia="ru-RU"/>
    </w:rPr>
  </w:style>
  <w:style w:type="character" w:styleId="Style20">
    <w:name w:val="Привязка сноски"/>
    <w:rPr>
      <w:vertAlign w:val="superscript"/>
    </w:rPr>
  </w:style>
  <w:style w:type="character" w:styleId="FootnoteCharacters">
    <w:name w:val="Footnote Characters"/>
    <w:qFormat/>
    <w:rsid w:val="00e10c82"/>
    <w:rPr>
      <w:vertAlign w:val="superscript"/>
    </w:rPr>
  </w:style>
  <w:style w:type="character" w:styleId="Style21">
    <w:name w:val="Привязка концевой сноски"/>
    <w:rPr>
      <w:vertAlign w:val="superscript"/>
    </w:rPr>
  </w:style>
  <w:style w:type="character" w:styleId="EndnoteCharacters">
    <w:name w:val="Endnote Characters"/>
    <w:qFormat/>
    <w:rsid w:val="00e10c82"/>
    <w:rPr>
      <w:vertAlign w:val="superscript"/>
    </w:rPr>
  </w:style>
  <w:style w:type="character" w:styleId="31" w:customStyle="1">
    <w:name w:val="Основной текст 3 Знак"/>
    <w:basedOn w:val="DefaultParagraphFont"/>
    <w:link w:val="31"/>
    <w:qFormat/>
    <w:rsid w:val="00e10c82"/>
    <w:rPr>
      <w:rFonts w:ascii="Times New Roman" w:hAnsi="Times New Roman" w:eastAsia="Times New Roman" w:cs="Times New Roman"/>
      <w:sz w:val="16"/>
      <w:szCs w:val="16"/>
      <w:lang w:eastAsia="ru-RU"/>
    </w:rPr>
  </w:style>
  <w:style w:type="character" w:styleId="Annotationreference">
    <w:name w:val="annotation reference"/>
    <w:uiPriority w:val="99"/>
    <w:qFormat/>
    <w:rsid w:val="00a91f2e"/>
    <w:rPr>
      <w:sz w:val="16"/>
      <w:szCs w:val="16"/>
    </w:rPr>
  </w:style>
  <w:style w:type="character" w:styleId="Style22">
    <w:name w:val="Символ сноски"/>
    <w:qFormat/>
    <w:rPr/>
  </w:style>
  <w:style w:type="paragraph" w:styleId="Style23">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link w:val="a8"/>
    <w:rsid w:val="00e10c82"/>
    <w:pPr/>
    <w:rPr>
      <w:sz w:val="28"/>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lang w:val="zxx" w:eastAsia="zxx" w:bidi="zxx"/>
    </w:rPr>
  </w:style>
  <w:style w:type="paragraph" w:styleId="1" w:customStyle="1">
    <w:name w:val="Абзац списка1"/>
    <w:basedOn w:val="Normal"/>
    <w:qFormat/>
    <w:rsid w:val="00e10c82"/>
    <w:pPr>
      <w:ind w:left="720" w:hanging="0"/>
    </w:pPr>
    <w:rPr/>
  </w:style>
  <w:style w:type="paragraph" w:styleId="Punct" w:customStyle="1">
    <w:name w:val="punct"/>
    <w:basedOn w:val="Normal"/>
    <w:qFormat/>
    <w:rsid w:val="00e10c82"/>
    <w:pPr>
      <w:numPr>
        <w:ilvl w:val="0"/>
        <w:numId w:val="1"/>
      </w:numPr>
      <w:spacing w:lineRule="auto" w:line="360"/>
      <w:jc w:val="both"/>
    </w:pPr>
    <w:rPr>
      <w:sz w:val="26"/>
      <w:szCs w:val="26"/>
    </w:rPr>
  </w:style>
  <w:style w:type="paragraph" w:styleId="Subpunct" w:customStyle="1">
    <w:name w:val="subpunct"/>
    <w:basedOn w:val="Normal"/>
    <w:qFormat/>
    <w:rsid w:val="00e10c82"/>
    <w:pPr>
      <w:numPr>
        <w:ilvl w:val="0"/>
        <w:numId w:val="1"/>
      </w:numPr>
      <w:tabs>
        <w:tab w:val="clear" w:pos="708"/>
        <w:tab w:val="left" w:pos="1631" w:leader="none"/>
      </w:tabs>
      <w:spacing w:lineRule="auto" w:line="360"/>
      <w:ind w:left="780" w:hanging="0"/>
      <w:jc w:val="both"/>
    </w:pPr>
    <w:rPr>
      <w:sz w:val="26"/>
      <w:szCs w:val="26"/>
      <w:lang w:val="en-US"/>
    </w:rPr>
  </w:style>
  <w:style w:type="paragraph" w:styleId="ConsPlusNonformat" w:customStyle="1">
    <w:name w:val="ConsPlusNonformat"/>
    <w:uiPriority w:val="99"/>
    <w:qFormat/>
    <w:rsid w:val="00e10c82"/>
    <w:pPr>
      <w:widowControl/>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Cell" w:customStyle="1">
    <w:name w:val="ConsPlusCell"/>
    <w:qFormat/>
    <w:rsid w:val="00e10c82"/>
    <w:pPr>
      <w:widowControl/>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Style28">
    <w:name w:val="Колонтитул"/>
    <w:basedOn w:val="Normal"/>
    <w:qFormat/>
    <w:pPr/>
    <w:rPr/>
  </w:style>
  <w:style w:type="paragraph" w:styleId="Style29">
    <w:name w:val="Header"/>
    <w:basedOn w:val="Normal"/>
    <w:link w:val="a5"/>
    <w:uiPriority w:val="99"/>
    <w:rsid w:val="00e10c82"/>
    <w:pPr>
      <w:tabs>
        <w:tab w:val="clear" w:pos="708"/>
        <w:tab w:val="center" w:pos="4677" w:leader="none"/>
        <w:tab w:val="right" w:pos="9355" w:leader="none"/>
      </w:tabs>
    </w:pPr>
    <w:rPr/>
  </w:style>
  <w:style w:type="paragraph" w:styleId="BodyTextIndent2">
    <w:name w:val="Body Text Indent 2"/>
    <w:basedOn w:val="Normal"/>
    <w:link w:val="20"/>
    <w:qFormat/>
    <w:rsid w:val="00e10c82"/>
    <w:pPr>
      <w:ind w:firstLine="540"/>
    </w:pPr>
    <w:rPr>
      <w:sz w:val="28"/>
    </w:rPr>
  </w:style>
  <w:style w:type="paragraph" w:styleId="BodyTextIndent3">
    <w:name w:val="Body Text Indent 3"/>
    <w:basedOn w:val="Normal"/>
    <w:link w:val="30"/>
    <w:qFormat/>
    <w:rsid w:val="00e10c82"/>
    <w:pPr>
      <w:ind w:firstLine="540"/>
      <w:jc w:val="both"/>
    </w:pPr>
    <w:rPr>
      <w:sz w:val="28"/>
    </w:rPr>
  </w:style>
  <w:style w:type="paragraph" w:styleId="Style30">
    <w:name w:val="Footer"/>
    <w:basedOn w:val="Normal"/>
    <w:link w:val="aa"/>
    <w:uiPriority w:val="99"/>
    <w:rsid w:val="00e10c82"/>
    <w:pPr>
      <w:tabs>
        <w:tab w:val="clear" w:pos="708"/>
        <w:tab w:val="center" w:pos="4677" w:leader="none"/>
        <w:tab w:val="right" w:pos="9355" w:leader="none"/>
      </w:tabs>
    </w:pPr>
    <w:rPr/>
  </w:style>
  <w:style w:type="paragraph" w:styleId="NormalWeb">
    <w:name w:val="Normal (Web)"/>
    <w:basedOn w:val="Normal"/>
    <w:uiPriority w:val="99"/>
    <w:qFormat/>
    <w:rsid w:val="00e10c82"/>
    <w:pPr>
      <w:spacing w:beforeAutospacing="1" w:afterAutospacing="1"/>
    </w:pPr>
    <w:rPr/>
  </w:style>
  <w:style w:type="paragraph" w:styleId="BalloonText">
    <w:name w:val="Balloon Text"/>
    <w:basedOn w:val="Normal"/>
    <w:link w:val="ad"/>
    <w:qFormat/>
    <w:rsid w:val="00e10c82"/>
    <w:pPr/>
    <w:rPr>
      <w:rFonts w:ascii="Tahoma" w:hAnsi="Tahoma" w:cs="Tahoma"/>
      <w:sz w:val="16"/>
      <w:szCs w:val="16"/>
    </w:rPr>
  </w:style>
  <w:style w:type="paragraph" w:styleId="ConsPlusNormal" w:customStyle="1">
    <w:name w:val="ConsPlusNormal"/>
    <w:basedOn w:val="Normal"/>
    <w:qFormat/>
    <w:rsid w:val="00e10c82"/>
    <w:pPr>
      <w:ind w:firstLine="720"/>
    </w:pPr>
    <w:rPr>
      <w:rFonts w:ascii="Arial" w:hAnsi="Arial" w:eastAsia="Calibri" w:cs="Arial"/>
      <w:sz w:val="20"/>
      <w:szCs w:val="20"/>
    </w:rPr>
  </w:style>
  <w:style w:type="paragraph" w:styleId="11" w:customStyle="1">
    <w:name w:val="Обычный (веб)1"/>
    <w:basedOn w:val="Normal"/>
    <w:qFormat/>
    <w:rsid w:val="00e10c82"/>
    <w:pPr>
      <w:spacing w:beforeAutospacing="1" w:afterAutospacing="1"/>
      <w:jc w:val="both"/>
    </w:pPr>
    <w:rPr>
      <w:rFonts w:eastAsia="Calibri"/>
    </w:rPr>
  </w:style>
  <w:style w:type="paragraph" w:styleId="Materialtext1" w:customStyle="1">
    <w:name w:val="material_text1"/>
    <w:basedOn w:val="Normal"/>
    <w:qFormat/>
    <w:rsid w:val="00e10c82"/>
    <w:pPr>
      <w:spacing w:lineRule="atLeast" w:line="312" w:beforeAutospacing="1" w:afterAutospacing="1"/>
      <w:jc w:val="both"/>
    </w:pPr>
    <w:rPr>
      <w:rFonts w:eastAsia="Calibri"/>
      <w:sz w:val="20"/>
      <w:szCs w:val="20"/>
    </w:rPr>
  </w:style>
  <w:style w:type="paragraph" w:styleId="Style31">
    <w:name w:val="Footnote Text"/>
    <w:basedOn w:val="Normal"/>
    <w:link w:val="af"/>
    <w:rsid w:val="00e10c82"/>
    <w:pPr/>
    <w:rPr>
      <w:sz w:val="20"/>
      <w:szCs w:val="20"/>
    </w:rPr>
  </w:style>
  <w:style w:type="paragraph" w:styleId="ConsPlusTitle" w:customStyle="1">
    <w:name w:val="ConsPlusTitle"/>
    <w:qFormat/>
    <w:rsid w:val="00e10c82"/>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BodyText3">
    <w:name w:val="Body Text 3"/>
    <w:basedOn w:val="Normal"/>
    <w:link w:val="32"/>
    <w:qFormat/>
    <w:rsid w:val="00e10c82"/>
    <w:pPr>
      <w:spacing w:before="0" w:after="120"/>
    </w:pPr>
    <w:rPr>
      <w:sz w:val="16"/>
      <w:szCs w:val="16"/>
    </w:rPr>
  </w:style>
  <w:style w:type="paragraph" w:styleId="S1" w:customStyle="1">
    <w:name w:val="s_1"/>
    <w:basedOn w:val="Normal"/>
    <w:qFormat/>
    <w:rsid w:val="001d6cf8"/>
    <w:pPr>
      <w:spacing w:beforeAutospacing="1" w:afterAutospacing="1"/>
    </w:pPr>
    <w:rPr/>
  </w:style>
  <w:style w:type="paragraph" w:styleId="S22" w:customStyle="1">
    <w:name w:val="s_22"/>
    <w:basedOn w:val="Normal"/>
    <w:qFormat/>
    <w:rsid w:val="000b4103"/>
    <w:pPr>
      <w:spacing w:beforeAutospacing="1" w:afterAutospacing="1"/>
    </w:pPr>
    <w:rPr/>
  </w:style>
  <w:style w:type="paragraph" w:styleId="ListParagraph">
    <w:name w:val="List Paragraph"/>
    <w:basedOn w:val="Normal"/>
    <w:uiPriority w:val="99"/>
    <w:qFormat/>
    <w:rsid w:val="002a23a5"/>
    <w:pPr>
      <w:ind w:left="720" w:hanging="0"/>
    </w:pPr>
    <w:rPr/>
  </w:style>
  <w:style w:type="paragraph" w:styleId="12">
    <w:name w:val="Основной текст1"/>
    <w:basedOn w:val="Normal"/>
    <w:qFormat/>
    <w:pPr>
      <w:widowControl w:val="false"/>
      <w:ind w:firstLine="400"/>
    </w:pPr>
    <w:rPr>
      <w:rFonts w:ascii="Times New Roman" w:hAnsi="Times New Roman" w:eastAsia="Times New Roman" w:cs="Times New Roman"/>
      <w:b w:val="false"/>
      <w:bCs w:val="false"/>
      <w:i w:val="false"/>
      <w:iCs w:val="false"/>
      <w:caps w:val="false"/>
      <w:smallCaps w:val="false"/>
      <w:strike w:val="false"/>
      <w:dstrike w:val="false"/>
      <w:sz w:val="28"/>
      <w:szCs w:val="28"/>
      <w:u w:val="none"/>
      <w:shd w:fill="auto" w:val="clea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2">
    <w:name w:val="Table Grid"/>
    <w:basedOn w:val="a1"/>
    <w:uiPriority w:val="59"/>
    <w:rsid w:val="00e10c8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Application>LibreOffice/7.2.5.2$Windows_X86_64 LibreOffice_project/499f9727c189e6ef3471021d6132d4c694f357e5</Application>
  <AppVersion>15.0000</AppVersion>
  <Pages>4</Pages>
  <Words>951</Words>
  <Characters>7101</Characters>
  <CharactersWithSpaces>8136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2016-10-24T06:03:00Z</dcterms:created>
  <dc:creator>Земля1</dc:creator>
  <dc:description/>
  <dc:language>ru-RU</dc:language>
  <cp:lastModifiedBy/>
  <cp:lastPrinted>2022-10-26T12:01:44Z</cp:lastPrinted>
  <dcterms:modified xsi:type="dcterms:W3CDTF">2022-10-26T15:54:34Z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