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684"/>
        <w:gridCol w:w="5121"/>
      </w:tblGrid>
      <w:tr>
        <w:trPr>
          <w:trHeight w:val="925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overflowPunct w:val="false"/>
              <w:jc w:val="center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/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  <w:shd w:fill="FFFF00" w:val="clear"/>
              </w:rPr>
              <w:t>ПРОЕКТ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rPr>
          <w:trHeight w:val="1166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3713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  <w:shd w:fill="FFFF00" w:val="clear"/>
              </w:rPr>
            </w:pPr>
            <w:r>
              <w:rPr>
                <w:color w:val="000000"/>
                <w:sz w:val="28"/>
                <w:szCs w:val="28"/>
                <w:shd w:fill="FFFF00" w:val="clear"/>
              </w:rPr>
              <w:t xml:space="preserve">        № </w:t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550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Арти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 внесении  изменений в Решение Думы Артинского городского округа от 22.06.2021г. №36 «Об утверждении Положения «О порядке организации и проведения приватизации муниципального имущества в Артинском городском округе" 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 и Федеральным законом от 22.07.2008г.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 </w:t>
      </w:r>
      <w:r>
        <w:rPr>
          <w:color w:val="000000"/>
          <w:sz w:val="28"/>
          <w:szCs w:val="28"/>
          <w:shd w:fill="FFFFFF" w:val="clear"/>
        </w:rPr>
        <w:t>Постановлением Правительства Российской Федерации от 27.08.2012 г. № 860 "Об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  <w:sz w:val="28"/>
          <w:szCs w:val="28"/>
        </w:rPr>
        <w:t xml:space="preserve"> Уставом Артинского городского округа, Дума Артинского городского округа</w:t>
      </w:r>
    </w:p>
    <w:p>
      <w:pPr>
        <w:pStyle w:val="Normal"/>
        <w:overflowPunct w:val="false"/>
        <w:jc w:val="both"/>
        <w:textAlignment w:val="baseline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Внести в Положение «О порядке организации и проведения приватизации муниципального имущества в Артинском городском округе" в новой редакции, утвержденное  Решением Думы Артинского городского округа от 22.06.2021 г. № 36 следующие</w:t>
      </w:r>
      <w:r>
        <w:rPr>
          <w:color w:val="000000"/>
          <w:sz w:val="28"/>
          <w:szCs w:val="28"/>
        </w:rPr>
        <w:t xml:space="preserve"> изменения: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</w:t>
      </w:r>
      <w:r>
        <w:rPr>
          <w:b w:val="false"/>
          <w:bCs w:val="false"/>
          <w:color w:val="000000"/>
          <w:sz w:val="28"/>
          <w:szCs w:val="28"/>
        </w:rPr>
        <w:t>1.1. Пункт 1.11. Положения изложить в следующей редакции: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«1.11. Дума Артинского городского округа: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в сфере приватизации;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прогнозный план (программу) приватизации;</w:t>
      </w:r>
    </w:p>
    <w:p>
      <w:pPr>
        <w:pStyle w:val="Normal"/>
        <w:ind w:left="0" w:right="0" w:firstLine="54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- принимает решение об условиях и способах приватизации муниципального имущества;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</w:t>
      </w:r>
      <w:r>
        <w:rPr>
          <w:b w:val="false"/>
          <w:bCs w:val="false"/>
          <w:color w:val="000000"/>
          <w:sz w:val="28"/>
          <w:szCs w:val="28"/>
        </w:rPr>
        <w:t>- определяет в порядке, установленном действующим законодательством, перечень имущества, которое может находиться исключительно в муниципальной собственности и не подлежит отчуждению;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b w:val="false"/>
          <w:bCs w:val="false"/>
          <w:sz w:val="28"/>
          <w:szCs w:val="28"/>
        </w:rPr>
        <w:t xml:space="preserve">1.2. Пункт 1.12. </w:t>
      </w:r>
      <w:r>
        <w:rPr>
          <w:b w:val="false"/>
          <w:bCs w:val="false"/>
          <w:color w:val="000000"/>
          <w:sz w:val="28"/>
          <w:szCs w:val="28"/>
        </w:rPr>
        <w:t>Положения изложить в следующей редакции: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«1.12. Комитет по управлению имуществом Администрации Артинского городского округа в сфере приватизации: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- разрабатывает прогнозный план (программу) приватизации муниципального имущества;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продавцом муниципального имущества;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 установленном порядке проведение оценки подлежащего приватизации имущества;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размер, срок и условия внесения задатка физическими и юридическими лицами, намеревающимися принять участие в торгах по продаже муниципального имущества (далее именуются - претенденты), а также иные условия договора о задатке;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место, даты начала и окончания приема заявок, место и срок подведения итогов торгов;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и публикацию информационного сообщения о проведении торгов, а также размещение информации о проведении торгов в сети Интернет в соответствии с требованиями, установленными Федеральным законом от 21.12.2001г. № 178-ФЗ "О приватизации государственного и муниципального имущества";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от претендентов заявки на участие в торгах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Федерации, настоящего Положения и перечню, опубликованному в информационном сообщении о проведении торгов;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заявок по мере их поступления в журнале приема заявок;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претендентов о признании претендентов участниками торгов или об отказе в допуске к участию в торгах;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 об итогах торгов;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расчеты с претендентами, участниками и победителем торгов;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и публикацию информационного сообщения об итогах торгов, а также его размещение в сети Интернет в соответствии с требованиями, установленными Федеральным законом от 21.12.2001г. №178-ФЗ "О приватизации государственного и муниципального имущества" и настоящим Положением;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- обеспечивает передачу имущества покупателю (победителю торгов) и совершает необходимые действия, связанные с переходом права собственности на него.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</w:rPr>
        <w:t xml:space="preserve">1.3. Пункт 7.3. </w:t>
      </w:r>
      <w:r>
        <w:rPr>
          <w:b w:val="false"/>
          <w:bCs w:val="false"/>
          <w:color w:val="000000"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«7.3. Предложения о цене муниципального имущества заявляются участниками аукциона открыто в ходе проведения торгов. </w:t>
      </w:r>
      <w:r>
        <w:rPr>
          <w:b w:val="false"/>
          <w:color w:val="000000"/>
          <w:sz w:val="28"/>
          <w:szCs w:val="28"/>
          <w:shd w:fill="auto" w:val="clear"/>
        </w:rPr>
        <w:t>По итогам торгов с победителем аукциона заключается договор.</w:t>
      </w:r>
    </w:p>
    <w:p>
      <w:pPr>
        <w:pStyle w:val="Normal"/>
        <w:ind w:left="0" w:right="0" w:firstLine="540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1.4. Пункт 7.4. изложить в следующей редакции: «7.4. </w:t>
      </w:r>
      <w:r>
        <w:rPr>
          <w:b w:val="false"/>
          <w:color w:val="000000"/>
          <w:sz w:val="28"/>
          <w:szCs w:val="28"/>
          <w:shd w:fill="auto" w:val="clear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 </w:t>
      </w:r>
    </w:p>
    <w:p>
      <w:pPr>
        <w:pStyle w:val="Normal"/>
        <w:ind w:left="0" w:right="0" w:firstLine="540"/>
        <w:jc w:val="both"/>
        <w:rPr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b w:val="false"/>
          <w:color w:val="000000"/>
          <w:sz w:val="28"/>
          <w:szCs w:val="28"/>
          <w:shd w:fill="auto" w:val="clear"/>
        </w:rPr>
        <w:t>В случае отказа лица, признанного единственным участником аукциона, от заключения договора аукцион признается несостоявшимся.».</w:t>
      </w:r>
    </w:p>
    <w:p>
      <w:pPr>
        <w:pStyle w:val="Normal"/>
        <w:ind w:left="0" w:right="0" w:firstLine="540"/>
        <w:jc w:val="both"/>
        <w:rPr/>
      </w:pPr>
      <w:r>
        <w:rPr>
          <w:b w:val="false"/>
          <w:color w:val="000000"/>
          <w:sz w:val="28"/>
          <w:szCs w:val="28"/>
          <w:shd w:fill="auto" w:val="clear"/>
        </w:rPr>
        <w:t xml:space="preserve">1.5. Пункт 7.11. изложить в следующей редакции: «7.11. </w:t>
      </w:r>
      <w:r>
        <w:rPr>
          <w:b w:val="false"/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аукциона.»</w:t>
      </w:r>
    </w:p>
    <w:p>
      <w:pPr>
        <w:pStyle w:val="Normal"/>
        <w:ind w:left="0" w:right="0" w:firstLine="540"/>
        <w:jc w:val="both"/>
        <w:rPr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b w:val="false"/>
          <w:color w:val="000000"/>
          <w:sz w:val="28"/>
          <w:szCs w:val="28"/>
          <w:shd w:fill="auto" w:val="clear"/>
        </w:rPr>
        <w:t>1.6. Пункт 7.12 изложить в следующей редакции: «7.12. 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договора.».</w:t>
      </w:r>
    </w:p>
    <w:p>
      <w:pPr>
        <w:pStyle w:val="Normal"/>
        <w:ind w:left="0" w:right="0" w:firstLine="540"/>
        <w:jc w:val="both"/>
        <w:rPr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b w:val="false"/>
          <w:color w:val="000000"/>
          <w:sz w:val="28"/>
          <w:szCs w:val="28"/>
          <w:shd w:fill="auto" w:val="clear"/>
        </w:rPr>
        <w:t>1.7. Пункт 7.13. изложить в следующей редакции: «7.13. Суммы задатков возвращаются участникам аукциона, за исключением его победителя  либо лица, признанного единственным участником аукциона в течение пяти дней с даты подведения итогов аукциона.».</w:t>
      </w:r>
    </w:p>
    <w:p>
      <w:pPr>
        <w:pStyle w:val="Normal"/>
        <w:ind w:left="0" w:right="0" w:firstLine="540"/>
        <w:jc w:val="both"/>
        <w:rPr>
          <w:b w:val="false"/>
          <w:b w:val="false"/>
          <w:color w:val="000000"/>
          <w:sz w:val="28"/>
          <w:szCs w:val="28"/>
          <w:shd w:fill="auto" w:val="clear"/>
        </w:rPr>
      </w:pPr>
      <w:r>
        <w:rPr>
          <w:b w:val="false"/>
          <w:color w:val="000000"/>
          <w:sz w:val="28"/>
          <w:szCs w:val="28"/>
          <w:shd w:fill="auto" w:val="clear"/>
        </w:rPr>
        <w:t>1.8. Пункт 7.14. изложить в следующей редакции: «7.14. В течение пяти рабочих дней с даты подведения итогов аукциона с победителем аукциона либо лицом, признанным единственным участником аукциона заключается договор купли-продажи.».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 Настоящее Решение вступает в силу со дня его опубликования.</w:t>
      </w:r>
    </w:p>
    <w:p>
      <w:pPr>
        <w:pStyle w:val="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 xml:space="preserve">3. Настоящее Решение опубликовать в «Муниципальном вестнике» газеты «Артинские вести», на официальных  сайтах Администрации Артинского городского округа </w:t>
      </w:r>
      <w:r>
        <w:rPr>
          <w:color w:val="000000"/>
          <w:sz w:val="28"/>
          <w:szCs w:val="28"/>
          <w:lang w:val="en-US"/>
        </w:rPr>
        <w:t>arti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go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, на сайте для размещения информации о приватизации муниципального имущества </w:t>
      </w:r>
      <w:r>
        <w:rPr>
          <w:color w:val="000000"/>
          <w:sz w:val="28"/>
          <w:szCs w:val="28"/>
          <w:lang w:val="en-US"/>
        </w:rPr>
        <w:t>torgi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и на официальном сайте  Думы Артинского городского округа </w:t>
      </w:r>
      <w:r>
        <w:rPr>
          <w:sz w:val="28"/>
          <w:szCs w:val="28"/>
          <w:lang w:val="en-US"/>
        </w:rPr>
        <w:t>dumartinfo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pStyle w:val="12"/>
        <w:widowControl w:val="false"/>
        <w:spacing w:lineRule="atLeast" w:line="100"/>
        <w:ind w:left="0" w:right="0" w:firstLine="5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(Овчинникова В.И.).</w:t>
      </w:r>
    </w:p>
    <w:p>
      <w:pPr>
        <w:pStyle w:val="12"/>
        <w:widowControl w:val="false"/>
        <w:spacing w:lineRule="atLeast" w:line="100"/>
        <w:ind w:left="0"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Артинского городского округа </w:t>
        <w:tab/>
        <w:t xml:space="preserve"> </w:t>
        <w:tab/>
        <w:t xml:space="preserve">                            А.П. Власов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Артинского городского округа                                  А. А. Константинов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  <w:shd w:fill="FFFF00" w:val="clear"/>
        </w:rPr>
        <w:t xml:space="preserve"> </w:t>
      </w:r>
      <w:r>
        <w:rPr>
          <w:color w:val="000000"/>
          <w:sz w:val="24"/>
          <w:szCs w:val="24"/>
          <w:shd w:fill="FFFF00" w:val="clear"/>
        </w:rPr>
        <w:t xml:space="preserve">проекта </w:t>
      </w:r>
      <w:r>
        <w:rPr>
          <w:color w:val="000000"/>
          <w:sz w:val="24"/>
          <w:szCs w:val="24"/>
          <w:shd w:fill="auto" w:val="clear"/>
        </w:rPr>
        <w:t>Решения Думы Артинского городского округа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4"/>
          <w:szCs w:val="24"/>
          <w:shd w:fill="auto" w:val="clear"/>
        </w:rPr>
      </w:pPr>
      <w:r>
        <w:rPr>
          <w:b/>
          <w:bCs/>
          <w:i/>
          <w:iCs/>
          <w:color w:val="000000"/>
          <w:sz w:val="24"/>
          <w:szCs w:val="24"/>
          <w:shd w:fill="auto" w:val="clear"/>
        </w:rPr>
        <w:t xml:space="preserve">О внесении  изменений в Решение Думы Артинского городского округа от 22.06.2021г. №36 «Об утверждении Положения «О порядке организации и проведения приватизации муниципального имущества в Артинском городском округе"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8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rPr/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Фамилия и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результаты голосования</w:t>
            </w:r>
          </w:p>
        </w:tc>
      </w:tr>
      <w:tr>
        <w:trPr/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>
        <w:trPr>
          <w:trHeight w:val="142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Зав. юридическим отделом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 Редких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33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Н.И. Акулова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   4   экз.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Исп.: Банникова Н.А.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Тел.: 2-11-46</w:t>
      </w:r>
    </w:p>
    <w:sectPr>
      <w:type w:val="nextPage"/>
      <w:pgSz w:w="11906" w:h="16838"/>
      <w:pgMar w:left="1701" w:right="850" w:gutter="0" w:header="0" w:top="1134" w:footer="0" w:bottom="10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qFormat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4">
    <w:name w:val="Heading 4"/>
    <w:basedOn w:val="Normal"/>
    <w:link w:val="41"/>
    <w:qFormat/>
    <w:pPr>
      <w:spacing w:before="280" w:after="280"/>
      <w:outlineLvl w:val="3"/>
    </w:pPr>
    <w:rPr>
      <w:rFonts w:eastAsia="Calibri"/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41">
    <w:name w:val="Заголовок 4 Знак"/>
    <w:basedOn w:val="DefaultParagraphFont"/>
    <w:qFormat/>
    <w:rPr>
      <w:rFonts w:ascii="Calibri" w:hAnsi="Calibri" w:cs="Calibri"/>
      <w:b/>
      <w:bCs/>
      <w:sz w:val="28"/>
      <w:szCs w:val="28"/>
    </w:rPr>
  </w:style>
  <w:style w:type="character" w:styleId="Style12">
    <w:name w:val="Hyperlink"/>
    <w:basedOn w:val="DefaultParagraphFont"/>
    <w:rPr>
      <w:color w:val="0000FF"/>
      <w:u w:val="single"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>
    <w:name w:val="Абзац списка1"/>
    <w:basedOn w:val="Normal"/>
    <w:qFormat/>
    <w:pPr>
      <w:suppressAutoHyphens w:val="true"/>
      <w:ind w:left="720" w:right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S3">
    <w:name w:val="s_3"/>
    <w:basedOn w:val="Normal"/>
    <w:qFormat/>
    <w:pPr>
      <w:spacing w:before="280" w:after="280"/>
    </w:pPr>
    <w:rPr>
      <w:rFonts w:eastAsia="Calibri"/>
    </w:rPr>
  </w:style>
  <w:style w:type="paragraph" w:styleId="S52">
    <w:name w:val="s_52"/>
    <w:basedOn w:val="Normal"/>
    <w:qFormat/>
    <w:pPr>
      <w:spacing w:before="280" w:after="280"/>
    </w:pPr>
    <w:rPr>
      <w:rFonts w:eastAsia="Calibri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>
      <w:rFonts w:eastAsia="Calib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Application>LibreOffice/7.4.2.3$Windows_X86_64 LibreOffice_project/382eef1f22670f7f4118c8c2dd222ec7ad009daf</Application>
  <AppVersion>15.0000</AppVersion>
  <Pages>4</Pages>
  <Words>877</Words>
  <Characters>5994</Characters>
  <CharactersWithSpaces>7115</CharactersWithSpaces>
  <Paragraphs>71</Paragraphs>
  <Company>Apти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dc:description/>
  <dc:language>ru-RU</dc:language>
  <cp:lastModifiedBy/>
  <cp:lastPrinted>2022-11-08T12:34:23Z</cp:lastPrinted>
  <dcterms:modified xsi:type="dcterms:W3CDTF">2022-11-15T17:05:25Z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