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9"/>
        <w:gridCol w:w="2684"/>
        <w:gridCol w:w="5121"/>
      </w:tblGrid>
      <w:tr>
        <w:trPr>
          <w:trHeight w:val="925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overflowPunct w:val="false"/>
              <w:jc w:val="center"/>
              <w:textAlignment w:val="baseline"/>
              <w:rPr/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/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ДУМА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rPr>
          <w:trHeight w:val="1166" w:hRule="atLeast"/>
        </w:trPr>
        <w:tc>
          <w:tcPr>
            <w:tcW w:w="9355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713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26.01.2023 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color w:val="000000"/>
                <w:sz w:val="24"/>
                <w:szCs w:val="24"/>
                <w:shd w:fill="auto" w:val="clear"/>
              </w:rPr>
              <w:t>7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3" w:hRule="atLeast"/>
        </w:trPr>
        <w:tc>
          <w:tcPr>
            <w:tcW w:w="1550" w:type="dxa"/>
            <w:gridSpan w:val="2"/>
            <w:tcBorders/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84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2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 внесении  изменений в Решение Думы Артинского городского округа от 22.06.2021г. № 36 «Об утверждении Положения «О порядке организации и проведения приватизации муниципального имущества в Артинском городском округе»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(в редакции  Решения от 24.11.2022 г.  № 65)</w:t>
      </w:r>
    </w:p>
    <w:p>
      <w:pPr>
        <w:pStyle w:val="Normal"/>
        <w:jc w:val="center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Федеральным законом от 21.12.2001г. № 178-ФЗ «О приватизации государственного и муниципального имущества» и Федеральным законом от 22.07.2008г.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 </w:t>
      </w:r>
      <w:r>
        <w:rPr>
          <w:color w:val="000000"/>
          <w:sz w:val="24"/>
          <w:szCs w:val="24"/>
          <w:shd w:fill="FFFFFF" w:val="clear"/>
        </w:rPr>
        <w:t>Постановлением Правительства Российской Федерации от 27.08.2012 г. № 860 «Об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  <w:sz w:val="24"/>
          <w:szCs w:val="24"/>
        </w:rPr>
        <w:t xml:space="preserve"> Уставом Артинского городского округа, Дума Артинского городского округа</w:t>
      </w:r>
    </w:p>
    <w:p>
      <w:pPr>
        <w:pStyle w:val="Normal"/>
        <w:overflowPunct w:val="false"/>
        <w:jc w:val="both"/>
        <w:textAlignment w:val="baselin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overflowPunct w:val="false"/>
        <w:jc w:val="both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>
        <w:rPr>
          <w:b/>
          <w:bCs/>
          <w:color w:val="000000"/>
          <w:sz w:val="24"/>
          <w:szCs w:val="24"/>
        </w:rPr>
        <w:t>РЕШИЛА: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1.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Внести в Положение «О порядке организации и проведения приватизации муниципального имущества в Артинском городском округе» в новой редакции» (далее-Положение) утвержденное  Решением Думы Артинского городского округа от 22.06.2021г. № 36 (в редакции  Решения от 24.11.2022 г.  № 65) следующие</w:t>
      </w:r>
      <w:r>
        <w:rPr>
          <w:color w:val="000000"/>
          <w:sz w:val="24"/>
          <w:szCs w:val="24"/>
        </w:rPr>
        <w:t xml:space="preserve"> изменения: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    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 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1.1. Пункт 7.7. Положения изложить в следующей редакции: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«7.7. </w:t>
      </w:r>
      <w:r>
        <w:rPr>
          <w:b w:val="false"/>
          <w:sz w:val="24"/>
        </w:rPr>
        <w:t xml:space="preserve">Для участия в аукционе претендент вносит задаток в размере: 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948" w:footer="0" w:bottom="115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432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sz w:val="24"/>
        </w:rPr>
        <w:t xml:space="preserve">20 процентов начальной цены, указанной в информационном сообщении о продаже  муниципального имущества и составляющей 100 миллионов рублей и более;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432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sz w:val="24"/>
        </w:rPr>
        <w:t xml:space="preserve">10 процентов начальной цены, указанной в информационном сообщении о продаже  муниципального имущества и составляющей менее 100 миллионов рублей.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Документом, подтверждающим поступление задатка на счет, указанный в информационном сообщении, является выписка с этого счета.».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     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1.2. Пункт 9.5. Положения изложить в следующей редакции: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«9.5. </w:t>
      </w:r>
      <w:r>
        <w:rPr>
          <w:b w:val="false"/>
          <w:sz w:val="24"/>
        </w:rPr>
        <w:t xml:space="preserve">Для участия в конкурсе претендент вносит задаток в размере: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432"/>
        <w:jc w:val="both"/>
        <w:rPr>
          <w:color w:val="000000"/>
          <w:sz w:val="24"/>
          <w:szCs w:val="24"/>
          <w:highlight w:val="none"/>
          <w:shd w:fill="auto" w:val="clear"/>
        </w:rPr>
      </w:pPr>
      <w:bookmarkStart w:id="0" w:name="p1"/>
      <w:bookmarkEnd w:id="0"/>
      <w:r>
        <w:rPr>
          <w:b w:val="false"/>
          <w:sz w:val="24"/>
        </w:rPr>
        <w:t xml:space="preserve">20 процентов начальной цены, указанной в информационном сообщении о продаже  муниципального имущества и составляющей 100 миллионов рублей и более;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432"/>
        <w:jc w:val="both"/>
        <w:rPr>
          <w:color w:val="000000"/>
          <w:sz w:val="24"/>
          <w:szCs w:val="24"/>
          <w:highlight w:val="none"/>
          <w:shd w:fill="auto" w:val="clear"/>
        </w:rPr>
      </w:pPr>
      <w:bookmarkStart w:id="1" w:name="p2"/>
      <w:bookmarkEnd w:id="1"/>
      <w:r>
        <w:rPr>
          <w:b w:val="false"/>
          <w:sz w:val="24"/>
        </w:rPr>
        <w:t xml:space="preserve">10 процентов начальной цены, указанной в информационном сообщении о продаже  муниципального имущества и составляющей менее 100 миллионов рублей.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Документом, подтверждающим поступление задатка на счет, указанный в информационном сообщении, является выписка с этого счета.».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     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1.3. Пункт 10.5. Положения изложить в следующей редакции: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«10.5. </w:t>
      </w:r>
      <w:r>
        <w:rPr>
          <w:b w:val="false"/>
          <w:sz w:val="24"/>
        </w:rPr>
        <w:t xml:space="preserve">Для участия в продаже посредством публичного предложения претендент вносит задаток в размере: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432"/>
        <w:jc w:val="both"/>
        <w:rPr>
          <w:color w:val="000000"/>
          <w:sz w:val="24"/>
          <w:szCs w:val="24"/>
          <w:highlight w:val="none"/>
          <w:shd w:fill="auto" w:val="clear"/>
        </w:rPr>
      </w:pPr>
      <w:bookmarkStart w:id="2" w:name="p11"/>
      <w:bookmarkEnd w:id="2"/>
      <w:r>
        <w:rPr>
          <w:b w:val="false"/>
          <w:sz w:val="24"/>
        </w:rPr>
        <w:t xml:space="preserve">20 процентов начальной цены, указанной в информационном сообщении о продаже  муниципального имущества и составляющей 100 миллионов рублей и более;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432"/>
        <w:jc w:val="both"/>
        <w:rPr>
          <w:color w:val="000000"/>
          <w:sz w:val="24"/>
          <w:szCs w:val="24"/>
          <w:highlight w:val="none"/>
          <w:shd w:fill="auto" w:val="clear"/>
        </w:rPr>
      </w:pPr>
      <w:bookmarkStart w:id="3" w:name="p21"/>
      <w:bookmarkEnd w:id="3"/>
      <w:r>
        <w:rPr>
          <w:b w:val="false"/>
          <w:sz w:val="24"/>
        </w:rPr>
        <w:t xml:space="preserve">10 процентов начальной цены, указанной в информационном сообщении о продаже  муниципального имущества и составляющей менее 100 миллионов рублей. </w:t>
      </w:r>
    </w:p>
    <w:p>
      <w:pPr>
        <w:sectPr>
          <w:type w:val="continuous"/>
          <w:pgSz w:w="11906" w:h="16838"/>
          <w:pgMar w:left="1701" w:right="850" w:gutter="0" w:header="0" w:top="948" w:footer="0" w:bottom="1154"/>
          <w:formProt w:val="false"/>
          <w:textDirection w:val="lrTb"/>
          <w:docGrid w:type="default" w:linePitch="360" w:charSpace="0"/>
        </w:sectPr>
      </w:pP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Документом, подтверждающим поступление задатка на счет, указанный в информационном сообщении, является выписка с этого счета.».</w:t>
      </w:r>
    </w:p>
    <w:p>
      <w:pPr>
        <w:pStyle w:val="1"/>
        <w:shd w:val="clear" w:fill="FFFFFF"/>
        <w:spacing w:lineRule="atLeast" w:line="263" w:before="0" w:after="144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 w:val="false"/>
          <w:bCs w:val="false"/>
          <w:sz w:val="24"/>
          <w:szCs w:val="24"/>
        </w:rPr>
        <w:t xml:space="preserve">   </w:t>
      </w:r>
      <w:r>
        <w:rPr>
          <w:b w:val="false"/>
          <w:bCs w:val="false"/>
          <w:color w:val="000000"/>
          <w:sz w:val="24"/>
          <w:szCs w:val="24"/>
        </w:rPr>
        <w:t>2.    Настоящее Решение вступает в силу со дня его опубликования.</w:t>
      </w:r>
    </w:p>
    <w:p>
      <w:pPr>
        <w:pStyle w:val="Normal"/>
        <w:ind w:left="0" w:right="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Настоящее Решение опубликовать в «Муниципальном вестнике» газеты «Артинские вести», на официальном  сайте Администрации Артинского городского округа </w:t>
      </w:r>
      <w:r>
        <w:rPr>
          <w:color w:val="000000"/>
          <w:sz w:val="24"/>
          <w:szCs w:val="24"/>
          <w:lang w:val="en-US"/>
        </w:rPr>
        <w:t>arti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 xml:space="preserve">, на сайте для размещения информации о приватизации муниципального имущества </w:t>
      </w:r>
      <w:r>
        <w:rPr>
          <w:color w:val="000000"/>
          <w:sz w:val="24"/>
          <w:szCs w:val="24"/>
          <w:lang w:val="en-US"/>
        </w:rPr>
        <w:t>torgi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gov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 xml:space="preserve"> и на официальном сайте  Думы Артинского городского округа </w:t>
      </w:r>
      <w:r>
        <w:rPr>
          <w:sz w:val="24"/>
          <w:szCs w:val="24"/>
          <w:lang w:val="en-US"/>
        </w:rPr>
        <w:t>dumartinfo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.</w:t>
      </w:r>
    </w:p>
    <w:p>
      <w:pPr>
        <w:pStyle w:val="12"/>
        <w:widowControl w:val="false"/>
        <w:spacing w:lineRule="atLeast" w:line="100"/>
        <w:ind w:left="0" w:right="0"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 Контроль  исполнения настоящего  Решения возложить на постоянную депутатскую комиссию по местному самоуправлению и законности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(Овчинникова В.И.).</w:t>
      </w:r>
    </w:p>
    <w:p>
      <w:pPr>
        <w:pStyle w:val="12"/>
        <w:widowControl w:val="false"/>
        <w:spacing w:lineRule="atLeast" w:line="100"/>
        <w:ind w:left="0" w:right="0"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</w:t>
      </w:r>
    </w:p>
    <w:p>
      <w:pPr>
        <w:pStyle w:val="Normal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  <w:tab/>
        <w:t xml:space="preserve"> </w:t>
        <w:tab/>
        <w:t xml:space="preserve">                              А. П. Власов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Артинского городского округа                                     А. А. Константинов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Решения Думы Артинского городского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shd w:fill="auto" w:val="clear"/>
        </w:rPr>
        <w:t>О внесении  изменений в Решение Думы Артинского городского округа от 22.06.2021г. №36 «Об утверждении Положения «О порядке организации и проведения приватизации муниципального имущества в Артинском городском округе»  (в редакции  Решения от 24.11.2022  № 65)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638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1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46"/>
        <w:gridCol w:w="1175"/>
        <w:gridCol w:w="2652"/>
        <w:gridCol w:w="1482"/>
      </w:tblGrid>
      <w:tr>
        <w:trPr/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>
        <w:trPr/>
        <w:tc>
          <w:tcPr>
            <w:tcW w:w="2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142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юридическим отделом Администрации АГО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Редких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335" w:hRule="atLeas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 Акулова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Разослано:    5   экз.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Дума - 1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Юр. отдел – 1 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Прокуратура – 1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«Артинские вести» - 1</w:t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Исп.: Банникова Н.А.</w:t>
      </w:r>
    </w:p>
    <w:p>
      <w:pPr>
        <w:pStyle w:val="Normal"/>
        <w:tabs>
          <w:tab w:val="clear" w:pos="708"/>
          <w:tab w:val="left" w:pos="6162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Тел.: 2-11-46</w:t>
      </w:r>
    </w:p>
    <w:sectPr>
      <w:type w:val="continuous"/>
      <w:pgSz w:w="11906" w:h="16838"/>
      <w:pgMar w:left="1701" w:right="850" w:gutter="0" w:header="0" w:top="948" w:footer="0" w:bottom="115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qFormat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4">
    <w:name w:val="Heading 4"/>
    <w:basedOn w:val="Normal"/>
    <w:link w:val="41"/>
    <w:qFormat/>
    <w:pPr>
      <w:spacing w:before="280" w:after="280"/>
      <w:outlineLvl w:val="3"/>
    </w:pPr>
    <w:rPr>
      <w:rFonts w:eastAsia="Calibri"/>
      <w:b/>
      <w:bCs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41">
    <w:name w:val="Заголовок 4 Знак"/>
    <w:basedOn w:val="DefaultParagraphFont"/>
    <w:qFormat/>
    <w:rPr>
      <w:rFonts w:ascii="Calibri" w:hAnsi="Calibri" w:cs="Calibri"/>
      <w:b/>
      <w:bCs/>
      <w:sz w:val="28"/>
      <w:szCs w:val="28"/>
    </w:rPr>
  </w:style>
  <w:style w:type="character" w:styleId="Style12">
    <w:name w:val="Hyperlink"/>
    <w:basedOn w:val="DefaultParagraphFont"/>
    <w:rPr>
      <w:color w:val="0000FF"/>
      <w:u w:val="single"/>
    </w:rPr>
  </w:style>
  <w:style w:type="character" w:styleId="Style13">
    <w:name w:val="Emphasis"/>
    <w:basedOn w:val="DefaultParagraphFont"/>
    <w:qFormat/>
    <w:rPr>
      <w:i/>
      <w:i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2">
    <w:name w:val="Абзац списка1"/>
    <w:basedOn w:val="Normal"/>
    <w:qFormat/>
    <w:pPr>
      <w:suppressAutoHyphens w:val="true"/>
      <w:ind w:left="720" w:right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S3">
    <w:name w:val="s_3"/>
    <w:basedOn w:val="Normal"/>
    <w:qFormat/>
    <w:pPr>
      <w:spacing w:before="280" w:after="280"/>
    </w:pPr>
    <w:rPr>
      <w:rFonts w:eastAsia="Calibri"/>
    </w:rPr>
  </w:style>
  <w:style w:type="paragraph" w:styleId="S52">
    <w:name w:val="s_52"/>
    <w:basedOn w:val="Normal"/>
    <w:qFormat/>
    <w:pPr>
      <w:spacing w:before="280" w:after="280"/>
    </w:pPr>
    <w:rPr>
      <w:rFonts w:eastAsia="Calibri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1">
    <w:name w:val="s_1"/>
    <w:basedOn w:val="Normal"/>
    <w:qFormat/>
    <w:pPr>
      <w:spacing w:before="280" w:after="280"/>
    </w:pPr>
    <w:rPr>
      <w:rFonts w:eastAsia="Calib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Application>LibreOffice/7.4.4.2$Windows_X86_64 LibreOffice_project/85569322deea74ec9134968a29af2df5663baa21</Application>
  <AppVersion>15.0000</AppVersion>
  <Pages>3</Pages>
  <Words>563</Words>
  <Characters>3735</Characters>
  <CharactersWithSpaces>4561</CharactersWithSpaces>
  <Paragraphs>58</Paragraphs>
  <Company>Apти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dc:description/>
  <dc:language>ru-RU</dc:language>
  <cp:lastModifiedBy/>
  <cp:lastPrinted>2023-01-27T10:35:25Z</cp:lastPrinted>
  <dcterms:modified xsi:type="dcterms:W3CDTF">2023-01-27T10:57:40Z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