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5"/>
        <w:gridCol w:w="98"/>
        <w:gridCol w:w="543"/>
        <w:gridCol w:w="1045"/>
        <w:gridCol w:w="118"/>
        <w:gridCol w:w="716"/>
        <w:gridCol w:w="1544"/>
        <w:gridCol w:w="6254"/>
        <w:gridCol w:w="121"/>
      </w:tblGrid>
      <w:tr>
        <w:trPr>
          <w:trHeight w:val="925" w:hRule="atLeast"/>
        </w:trPr>
        <w:tc>
          <w:tcPr>
            <w:tcW w:w="1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439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 w:eastAsia="ar-SA"/>
              </w:rPr>
              <w:t xml:space="preserve">        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 w:eastAsia="ar-SA"/>
              </w:rPr>
              <w:t xml:space="preserve">    </w:t>
            </w:r>
            <w:r>
              <w:rPr/>
              <w:drawing>
                <wp:inline distT="0" distB="0" distL="0" distR="0">
                  <wp:extent cx="495300" cy="561975"/>
                  <wp:effectExtent l="0" t="0" r="0" b="0"/>
                  <wp:docPr id="1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eastAsia="" w:cs="" w:ascii="Times New Roman" w:hAnsi="Times New Roman" w:cstheme="minorBidi" w:eastAsiaTheme="minorEastAsia"/>
                <w:shd w:fill="FFFF00" w:val="clear"/>
              </w:rPr>
              <w:t xml:space="preserve">   </w:t>
            </w:r>
            <w:r>
              <w:rPr>
                <w:rFonts w:eastAsia="" w:cs="" w:ascii="Times New Roman" w:hAnsi="Times New Roman" w:cstheme="minorBidi" w:eastAsiaTheme="minorEastAsia"/>
                <w:shd w:fill="FFFF00" w:val="clear"/>
              </w:rPr>
              <w:t>ПРОЕКТ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ar-SA"/>
              </w:rPr>
              <w:t>ДУМА</w:t>
            </w:r>
          </w:p>
        </w:tc>
      </w:tr>
      <w:tr>
        <w:trPr>
          <w:trHeight w:val="721" w:hRule="atLeast"/>
        </w:trPr>
        <w:tc>
          <w:tcPr>
            <w:tcW w:w="10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  <w:tc>
          <w:tcPr>
            <w:tcW w:w="10439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ar-SA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ar-SA"/>
              </w:rPr>
              <w:t>РЕШЕНИЕ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1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9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543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16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63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395" w:hRule="atLeast"/>
        </w:trPr>
        <w:tc>
          <w:tcPr>
            <w:tcW w:w="105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9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588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  <w:t>пгт. Арти</w:t>
            </w:r>
          </w:p>
        </w:tc>
        <w:tc>
          <w:tcPr>
            <w:tcW w:w="8753" w:type="dxa"/>
            <w:gridSpan w:val="5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0423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8"/>
                <w:szCs w:val="28"/>
                <w:lang w:eastAsia="ar-SA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 внесении изменений  в Решение Думы Артинского городского округа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8"/>
                <w:szCs w:val="28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от 26.08.2021 г. № 46 «Об утверждении Положения «О муниципальном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1384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shd w:fill="auto" w:val="clear"/>
                <w:lang w:eastAsia="ar-SA"/>
              </w:rPr>
              <w:t>лесном  к</w:t>
            </w: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онтроле на территории Артинского городского округа»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firstLine="1384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  <w:lang w:eastAsia="ar-SA"/>
              </w:rPr>
              <w:t>(в редакции  Решения Думы Артинского городского округа от 26.01.2023г. № 8)</w:t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В соответствии </w:t>
      </w: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  <w:t xml:space="preserve">с Федеральным Законом от 06.10.2003г. № 131-ФЗ «Об общих принципах организации местного самоуправления в Российской Федерации», </w:t>
      </w:r>
      <w:hyperlink r:id="rId3">
        <w:r>
          <w:rPr>
            <w:rFonts w:eastAsia="Calibri" w:cs="Times New Roman" w:ascii="Times New Roman" w:hAnsi="Times New Roman"/>
            <w:sz w:val="24"/>
            <w:szCs w:val="24"/>
            <w:lang w:eastAsia="ar-SA"/>
          </w:rPr>
          <w:t>статьей 72</w:t>
        </w:r>
      </w:hyperlink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Земельного </w:t>
      </w:r>
      <w:hyperlink r:id="rId4">
        <w:r>
          <w:rPr>
            <w:rFonts w:eastAsia="Calibri" w:cs="Times New Roman" w:ascii="Times New Roman" w:hAnsi="Times New Roman"/>
            <w:sz w:val="24"/>
            <w:szCs w:val="24"/>
            <w:lang w:eastAsia="ar-SA"/>
          </w:rPr>
          <w:t>кодекса</w:t>
        </w:r>
      </w:hyperlink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Российской Федерации от 25.10.2001г. №136-ФЗ, </w:t>
      </w: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  <w:t xml:space="preserve">Федеральным законом от 31.07.2020г. № 248-ФЗ «О государственном контроле (надзоре) и муниципальном контроле в Российской Федерации»,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руководствуясь Уставом Артинского городского округа 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  <w:t>РЕШИЛА: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1. Внести в Решение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>Думы Артинского городского округа  от 26.08.2021 г. № 46 «Об утверждении Положения «О муниципальном  лесном  контроле на территории Артинского городского округа» следующие изменения: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1.1.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 xml:space="preserve"> пункт 11 главы 2  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 xml:space="preserve">«11.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Система управления рисками при осуществлении муниципального  земельного контроля на территории Артинского городского округа  не применяется».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1.2.  пункты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>12 -18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 xml:space="preserve">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>лавы 2 признать утратившими силу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>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>1.3. пункт  19 главы 2  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ar-SA"/>
        </w:rPr>
        <w:t xml:space="preserve">«19.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Плановые контрольно-надзорные мероприятия при осуществлении муниципального лесного контроля на территории Артинского городского округа не проводятся.»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1.4. пункт 20 главы 2  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«20. В целях проведения внеплановых контрольно-надзорных мероприятий устанавливаются индикаторы риска нарушения обязательных требований (Приложение № 1)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</w:rPr>
        <w:t>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1.5.  пункт 21  главы 2 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«21.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sz w:val="24"/>
          <w:szCs w:val="24"/>
        </w:rPr>
      </w:pPr>
      <w:bookmarkStart w:id="0" w:name="dst100495"/>
      <w:bookmarkStart w:id="1" w:name="dst100494"/>
      <w:bookmarkStart w:id="2" w:name="dst100493"/>
      <w:bookmarkStart w:id="3" w:name="dst100492"/>
      <w:bookmarkEnd w:id="0"/>
      <w:bookmarkEnd w:id="1"/>
      <w:bookmarkEnd w:id="2"/>
      <w:bookmarkEnd w:id="3"/>
      <w:r>
        <w:rPr>
          <w:rFonts w:eastAsia="Times New Roman" w:ascii="Times New Roman" w:hAnsi="Times New Roman"/>
          <w:sz w:val="24"/>
          <w:szCs w:val="24"/>
        </w:rPr>
        <w:t>Профилактические мероприятия, предусмотренные программой профилактики, обязательны для проведения уполномоченным органом муниципального земельного контроля.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bookmarkStart w:id="4" w:name="dst100496"/>
      <w:bookmarkEnd w:id="4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Уполномоченный орган муниципального лесного контроля может проводить профилактические мероприятия, не предусмотренные программой профилактики.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Уполномоченный орган муниципального лесного контроля проводит следующие профилактические мероприятия: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1) информирование;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sz w:val="24"/>
          <w:szCs w:val="24"/>
        </w:rPr>
      </w:pPr>
      <w:bookmarkStart w:id="5" w:name="dst100502"/>
      <w:bookmarkStart w:id="6" w:name="dst100501"/>
      <w:bookmarkStart w:id="7" w:name="dst100500"/>
      <w:bookmarkEnd w:id="5"/>
      <w:bookmarkEnd w:id="6"/>
      <w:bookmarkEnd w:id="7"/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 xml:space="preserve">2) </w:t>
      </w:r>
      <w:bookmarkStart w:id="8" w:name="dst100503"/>
      <w:bookmarkEnd w:id="8"/>
      <w:r>
        <w:rPr>
          <w:rFonts w:eastAsia="Times New Roman" w:ascii="Times New Roman" w:hAnsi="Times New Roman"/>
          <w:sz w:val="24"/>
          <w:szCs w:val="24"/>
        </w:rPr>
        <w:t xml:space="preserve">объявление предостережения о недопустимости нарушения обязательных требований (далее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eastAsia="Times New Roman" w:ascii="Times New Roman" w:hAnsi="Times New Roman"/>
          <w:sz w:val="24"/>
          <w:szCs w:val="24"/>
        </w:rPr>
        <w:t>предостережение);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    </w:t>
      </w:r>
      <w:r>
        <w:rPr>
          <w:rFonts w:eastAsia="Times New Roman" w:ascii="Times New Roman" w:hAnsi="Times New Roman"/>
          <w:sz w:val="24"/>
          <w:szCs w:val="24"/>
        </w:rPr>
        <w:t>3) консультирование.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4) профилактический визит.»;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1.6. пункт 23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лавы 3 признать утратившими силу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1.7. пункт 25 главы 3 изложить в следующей редакции: «25.Контролируемое лицо вправе после получения предостережения подать в уполномоченный орган муниципального земельного контроля возражение в отношении указанного предостережения.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орган муниципального контроля направляет контролируемому лицу ответ, в котором указывает обоснование несогласия с доводами, указанными в возражении.»;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1.8.  пункты 26, 27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лавы 3 признать утратившими силу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1.9.  пункт 28 главы 3 изложить в следующей редакции: «28.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а) местонахождение, контактные телефоны, адрес официального сайта администрации Артинского городского округа в сети «Интернет» и адреса электронной почты;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б) график работы уполномоченного органа муниципального земельного контроля, время приема посетителей;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в) номера кабинетов, где проводятся прием и информирование посетителей по вопросам осуществления муниципального земельного контроля;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г) перечень нормативных правовых актов, регулирующих осуществление муниципального земельного контроля;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д) перечень актов, содержащих обязательные требования.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Комитет либо Администрацию Артинского городского округа о предоставлении письменного ответа в порядке, установленном Федеральным законом от 02.05.2006г. № 59-ФЗ «О порядке рассмотрения обращений граждан Российской Федерации».</w:t>
      </w:r>
    </w:p>
    <w:p>
      <w:pPr>
        <w:pStyle w:val="Normal"/>
        <w:suppressAutoHyphens w:val="true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 муниципального земельного контроля, иных участников контрольного мероприятия, а также результаты проведенной в рамках контрольного мероприятия экспертизы.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Консультирование в письменной форме осуществляется путем направления ответа на письменной обращение контролируемых лиц и их представителей по  вопросу наличия запланированных контрольных мероприятий без взаимодействия с контролируемым лицом,   профилактических мероприятий в отношении объектов контроля, принадлежащих или используемых контролируемым лицом.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Рассмотрение письменных обращений осуществляется в порядке и сроки, установленные Федеральным законом от 02.05.2006г. № 59-ФЗ «О порядке рассмотрения обращений граждан Российской Федерации»;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1.10. пункт 29 главы 3 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«29. Профилактический визит  проводится в форме профилактической беседы по месту осуществления деятельности контролируемого лица, либо путем использования видео-конференц-связи (при наличии возможности).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ab/>
        <w:t xml:space="preserve">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земельного контроля, проводимого в отношении объекта контроля. Профилактический визит проводится в порядке и объеме, определенном статьей 52 Закона № 248-ФЗ.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деятельности, либо к используемым им объектам контроля, их соответствии индикаторам риска, а также о видах, содержании и об интенсивности контрольных мероприятий, проводимых в отношении контролируемого лица. В ходе профилактического визита может осуществляться консультирование контролируемого лица в порядке, установленном статьей 50 Закона № 248-ФЗ и настоящим Положением. Профилактический визит проводится по согласованию с контролируемым лицом. </w:t>
        <w:tab/>
        <w:t xml:space="preserve">Обязательный профилактический визит проводится в отношении контролируемого лица впервые приступающего к осуществлению своей деятельности. О проведении профилактического визита,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5 статьи 21 Закона № 248-ФЗ.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ab/>
        <w:t xml:space="preserve">Контролируемое лицо вправе отказаться от проведения профилактического визита, обязательного профилактического визита, уведомив об этом контрольный орган в письменной форме на бумажном носителе почтовым отправлением, либо в форме электронного документа, подписанного электронной подписью, не позднее чем за три рабочих дня до даты его проведения. 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Срок проведения профилактического визита, обязательного профилактического визита не может превышать один рабочий день.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ab/>
        <w:t>При профилактическом визите, обязательном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обязательного профилактического носят рекомендательный характер.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В 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орган муниципального земельного контроля принимает решение  о проведении  внепланового контрольного (надзорного) мероприятия.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Контролируемое лицо вправе обратиться в контрольный  орган с заявлением о проведении в отношении его профилактического визита.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Контрольный 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Контрольный 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2) в течение двух месяцев до даты подачи заявления контролируемого лица контрольным  органом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 органа либо членов их семей.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В случае принятия решения о проведении профилактического визита по заявлению контролируемого лица контрольный 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>1.11.  пункт 30  главы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 xml:space="preserve"> изложить в следующей редакции: «30. При осуществлении муниципального контроля проводятся следующие внеплановые контрольные мероприятия: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1)  контрольные мероприятия без взаимодействия с контролируемым лицом;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2) контрольные мероприятия при взаимодействии с контролируемым лицом.»;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auto" w:val="clear"/>
        </w:rPr>
        <w:t xml:space="preserve">1.12.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ar-SA"/>
        </w:rPr>
        <w:t>пункт 31  главы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 xml:space="preserve"> изложить в следующей редакции:  «31. Оценка соблюдения контролируемыми лицами обязательных требований проводится посредством проведения контрольных мероприятий без взаимодействия: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1) наблюдение за соблюдением обязательных требований;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2) выездное обследование.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Порядок проведения контрольных мероприятий без взаимодействия с контролируемым лицом предусмотрен статьями 74, 75 Федерального закона от 31.07.2020г.  № 248-ФЗ «О государственном контроле (надзоре) и муниципальном контроле в Российской Федерации».;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1.13.   пункты 32-35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 xml:space="preserve"> 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лавы 4 признать утратившими силу;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1.14.  абзацы 2-5 пункта 37, пункты 38-39  главы  4 признать утратившими силу;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1.15.  подпункт 5  пункта 41, главы  4 признать утратившими силу;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1.16 Дополнить главу 6  пунктом 51.1  следующего содержания: «51.1.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1) жалоба подана после истечения сроков подачи жалобы, установленных частями 5 и 6 статьи 40 Федерального закона № 248-ФЗ «О государственном контроле (надзоре) и муниципальном контроле в Российской Федерации» , и не содержит ходатайства о восстановлении пропущенного срока на подачу жалобы;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2) в удовлетворении ходатайства о восстановлении пропущенного срока на подачу жалобы отказано;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4) имеется решение суда по вопросам, поставленным в жалобе;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5) ранее в уполномоченный орган была подана другая жалоба от того же контролируемого лица по тем же основаниям;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8) жалоба подана в ненадлежащий уполномоченный орган;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 (часть 1 в ред. Федерального закона от 11.06.2021 N 170-ФЗ)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ar-SA"/>
        </w:rPr>
        <w:t>Отказ в рассмотрении жалобы по основаниям, указанным в пунктах 3 - 8 части 1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лиц».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2. Опубликовать настоящее Решение в «Муниципальном вестнике» газеты «Артинские вести», на официальных сайтах Администрации Артинского городского округа </w:t>
      </w:r>
      <w:hyperlink r:id="rId5">
        <w:r>
          <w:rPr>
            <w:rFonts w:eastAsia="Times New Roman" w:cs="Times New Roman"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 w:eastAsia="ar-SA"/>
          </w:rPr>
          <w:t>arti.midural.ru</w:t>
        </w:r>
      </w:hyperlink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 и Думы Артинского городского округа </w:t>
      </w:r>
      <w:r>
        <w:rPr>
          <w:rFonts w:eastAsia="Calibri" w:cs="Times New Roman" w:ascii="Times New Roman" w:hAnsi="Times New Roman"/>
          <w:sz w:val="24"/>
          <w:szCs w:val="24"/>
          <w:lang w:val="en-US" w:eastAsia="ar-SA"/>
        </w:rPr>
        <w:t>dumartinfo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.</w:t>
      </w:r>
      <w:r>
        <w:rPr>
          <w:rFonts w:eastAsia="Calibri" w:cs="Times New Roman" w:ascii="Times New Roman" w:hAnsi="Times New Roman"/>
          <w:sz w:val="24"/>
          <w:szCs w:val="24"/>
          <w:lang w:val="en-US" w:eastAsia="ar-SA"/>
        </w:rPr>
        <w:t xml:space="preserve">ru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>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>3. Контроль исполнения настоящего Решения возложить на постоянную депутатскую комиссию по промышленности, сельскому хозяйству и природопользованию (Сыропятов Л.В.).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Председатель Думы </w:t>
      </w:r>
    </w:p>
    <w:p>
      <w:pPr>
        <w:pStyle w:val="Normal"/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Артинского городского округа </w:t>
        <w:tab/>
        <w:tab/>
        <w:tab/>
        <w:t xml:space="preserve">                              А.П. Власов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7380" w:leader="none"/>
        </w:tabs>
        <w:suppressAutoHyphens w:val="true"/>
        <w:spacing w:lineRule="auto" w:line="240" w:before="0" w:after="0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>Глава Артинского городского округа                                                 А. А. Константинов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8"/>
          <w:tab w:val="left" w:pos="1189" w:leader="none"/>
        </w:tabs>
        <w:spacing w:lineRule="auto" w:line="240" w:before="0" w:after="200"/>
        <w:ind w:left="0" w:right="0" w:firstLine="540"/>
        <w:jc w:val="both"/>
        <w:rPr>
          <w:rFonts w:eastAsia="Times New Roman" w:cs="Times New Roman"/>
          <w:b w:val="false"/>
          <w:b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О Г Л А С О В А Н И Е      </w:t>
      </w:r>
      <w:r>
        <w:rPr>
          <w:rFonts w:eastAsia="" w:cs="" w:ascii="Times New Roman" w:hAnsi="Times New Roman" w:cstheme="minorBidi" w:eastAsiaTheme="minorEastAsia"/>
          <w:b/>
          <w:sz w:val="24"/>
          <w:szCs w:val="24"/>
          <w:shd w:fill="FFFF00" w:val="clear"/>
        </w:rPr>
        <w:t>ПРОЕКТА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Думы Артинского городского округа</w:t>
      </w:r>
    </w:p>
    <w:p>
      <w:pPr>
        <w:pStyle w:val="Normal"/>
        <w:widowControl w:val="false"/>
        <w:suppressAutoHyphens w:val="true"/>
        <w:snapToGrid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  <w:lang w:eastAsia="ar-SA"/>
        </w:rPr>
        <w:t xml:space="preserve">  </w:t>
      </w:r>
      <w:r>
        <w:rPr>
          <w:rFonts w:eastAsia="Calibri" w:cs="Times New Roman" w:ascii="Times New Roman" w:hAnsi="Times New Roman"/>
          <w:b/>
          <w:i/>
          <w:sz w:val="24"/>
          <w:szCs w:val="24"/>
          <w:lang w:eastAsia="ar-SA"/>
        </w:rPr>
        <w:t>О внесении изменений  в Решение Думы Артинского городского округа</w:t>
      </w:r>
    </w:p>
    <w:p>
      <w:pPr>
        <w:pStyle w:val="Normal"/>
        <w:widowControl w:val="false"/>
        <w:suppressAutoHyphens w:val="true"/>
        <w:snapToGrid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eastAsia="ar-SA"/>
        </w:rPr>
        <w:t>от 26.08.2021 г. № 46 «Об утверждении Положения «О муниципальном</w:t>
      </w:r>
    </w:p>
    <w:p>
      <w:pPr>
        <w:pStyle w:val="Normal"/>
        <w:widowControl w:val="false"/>
        <w:suppressAutoHyphens w:val="true"/>
        <w:snapToGrid w:val="false"/>
        <w:spacing w:lineRule="auto" w:line="240" w:before="0" w:after="0"/>
        <w:ind w:firstLine="1384"/>
        <w:jc w:val="center"/>
        <w:rPr>
          <w:rFonts w:ascii="Times New Roman" w:hAnsi="Times New Roman" w:eastAsia="Calibri" w:cs="Times New Roman"/>
          <w:b/>
          <w:b/>
          <w:i/>
          <w:i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shd w:fill="auto" w:val="clear"/>
          <w:lang w:eastAsia="ar-SA"/>
        </w:rPr>
        <w:t>лесном  к</w:t>
      </w:r>
      <w:r>
        <w:rPr>
          <w:rFonts w:eastAsia="Calibri" w:cs="Times New Roman" w:ascii="Times New Roman" w:hAnsi="Times New Roman"/>
          <w:b/>
          <w:i/>
          <w:sz w:val="24"/>
          <w:szCs w:val="24"/>
          <w:lang w:eastAsia="ar-SA"/>
        </w:rPr>
        <w:t xml:space="preserve">онтроле на территории Артинского городского округа» </w:t>
      </w:r>
    </w:p>
    <w:p>
      <w:pPr>
        <w:pStyle w:val="Normal"/>
        <w:widowControl w:val="false"/>
        <w:suppressAutoHyphens w:val="true"/>
        <w:snapToGrid w:val="false"/>
        <w:spacing w:lineRule="auto" w:line="240" w:before="0" w:after="0"/>
        <w:ind w:firstLine="1384"/>
        <w:jc w:val="center"/>
        <w:rPr>
          <w:rFonts w:ascii="Times New Roman" w:hAnsi="Times New Roman" w:eastAsia="Calibri" w:cs="Times New Roman"/>
          <w:b/>
          <w:b/>
          <w:i/>
          <w:i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eastAsia="ar-SA"/>
        </w:rPr>
        <w:t>(в редакции  Решения Думы Артинского городского округа от 26.01.2023г. № 8)</w:t>
      </w:r>
    </w:p>
    <w:p>
      <w:pPr>
        <w:pStyle w:val="Normal"/>
        <w:tabs>
          <w:tab w:val="clear" w:pos="708"/>
          <w:tab w:val="left" w:pos="1638" w:leader="none"/>
        </w:tabs>
        <w:spacing w:lineRule="auto" w:line="24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tbl>
      <w:tblPr>
        <w:tblW w:w="95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828"/>
        <w:gridCol w:w="1175"/>
        <w:gridCol w:w="2652"/>
        <w:gridCol w:w="1482"/>
      </w:tblGrid>
      <w:tr>
        <w:trPr/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2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результаты голосования</w:t>
            </w:r>
          </w:p>
        </w:tc>
      </w:tr>
      <w:tr>
        <w:trPr/>
        <w:tc>
          <w:tcPr>
            <w:tcW w:w="2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>
        <w:trPr/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юрид. отделом Администрации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 Редких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overflowPunct w:val="tru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КУИ Администрации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Н.И.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auto" w:line="240" w:before="0" w:after="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143"/>
        <w:rPr/>
      </w:pPr>
      <w:r>
        <w:rPr>
          <w:rFonts w:ascii="Times New Roman" w:hAnsi="Times New Roman"/>
        </w:rPr>
        <w:t>Разослано:    5    экз.</w:t>
      </w:r>
    </w:p>
    <w:p>
      <w:pPr>
        <w:pStyle w:val="Normal"/>
        <w:tabs>
          <w:tab w:val="clear" w:pos="708"/>
          <w:tab w:val="left" w:pos="6162" w:leader="none"/>
        </w:tabs>
        <w:spacing w:before="0" w:after="0"/>
        <w:rPr/>
      </w:pPr>
      <w:r>
        <w:rPr>
          <w:rFonts w:ascii="Times New Roman" w:hAnsi="Times New Roman"/>
        </w:rPr>
        <w:t>Дума - 1</w:t>
      </w:r>
    </w:p>
    <w:p>
      <w:pPr>
        <w:pStyle w:val="Normal"/>
        <w:tabs>
          <w:tab w:val="clear" w:pos="708"/>
          <w:tab w:val="left" w:pos="6162" w:leader="none"/>
        </w:tabs>
        <w:spacing w:before="0" w:after="0"/>
        <w:rPr/>
      </w:pPr>
      <w:r>
        <w:rPr>
          <w:rFonts w:ascii="Times New Roman" w:hAnsi="Times New Roman"/>
        </w:rPr>
        <w:t xml:space="preserve">Юр. отдел – 1 </w:t>
      </w:r>
    </w:p>
    <w:p>
      <w:pPr>
        <w:pStyle w:val="Normal"/>
        <w:tabs>
          <w:tab w:val="clear" w:pos="708"/>
          <w:tab w:val="left" w:pos="6162" w:leader="none"/>
        </w:tabs>
        <w:spacing w:before="0" w:after="29"/>
        <w:rPr/>
      </w:pPr>
      <w:r>
        <w:rPr>
          <w:rFonts w:ascii="Times New Roman" w:hAnsi="Times New Roman"/>
        </w:rPr>
        <w:t>КУИ – 1</w:t>
      </w:r>
    </w:p>
    <w:p>
      <w:pPr>
        <w:pStyle w:val="Normal"/>
        <w:tabs>
          <w:tab w:val="clear" w:pos="708"/>
          <w:tab w:val="left" w:pos="6162" w:leader="none"/>
        </w:tabs>
        <w:spacing w:before="0" w:after="0"/>
        <w:rPr/>
      </w:pPr>
      <w:r>
        <w:rPr>
          <w:rFonts w:ascii="Times New Roman" w:hAnsi="Times New Roman"/>
        </w:rPr>
        <w:t>Прокуратура – 1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29"/>
        <w:rPr>
          <w:rFonts w:ascii="Times New Roman" w:hAnsi="Times New Roman"/>
        </w:rPr>
      </w:pPr>
      <w:r>
        <w:rPr>
          <w:rFonts w:ascii="Times New Roman" w:hAnsi="Times New Roman"/>
        </w:rPr>
        <w:t>Ред. газеты «Артинские вести» -1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6162" w:leader="none"/>
        </w:tabs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6162" w:leader="none"/>
        </w:tabs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/>
      </w:pPr>
      <w:r>
        <w:rPr>
          <w:rFonts w:ascii="Times New Roman" w:hAnsi="Times New Roman"/>
        </w:rPr>
        <w:t>Исп.: Щепочкина С.А.</w:t>
      </w:r>
    </w:p>
    <w:p>
      <w:pPr>
        <w:pStyle w:val="Normal"/>
        <w:tabs>
          <w:tab w:val="clear" w:pos="708"/>
          <w:tab w:val="left" w:pos="6162" w:leader="none"/>
        </w:tabs>
        <w:spacing w:lineRule="auto" w:line="240" w:before="0" w:after="0"/>
        <w:rPr/>
      </w:pPr>
      <w:r>
        <w:rPr>
          <w:rFonts w:ascii="Times New Roman" w:hAnsi="Times New Roman"/>
        </w:rPr>
        <w:t>Тел.: 2-13-30</w:t>
      </w:r>
    </w:p>
    <w:p>
      <w:pPr>
        <w:pStyle w:val="Normal"/>
        <w:spacing w:lineRule="auto" w:line="240" w:before="0" w:after="200"/>
        <w:ind w:firstLine="567"/>
        <w:jc w:val="both"/>
        <w:rPr/>
      </w:pPr>
      <w:r>
        <w:rPr/>
      </w:r>
    </w:p>
    <w:sectPr>
      <w:headerReference w:type="default" r:id="rId6"/>
      <w:type w:val="nextPage"/>
      <w:pgSz w:w="12240" w:h="15840"/>
      <w:pgMar w:left="1418" w:right="847" w:gutter="0" w:header="720" w:top="1134" w:footer="0" w:bottom="720"/>
      <w:pgNumType w:start="0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160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3415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34157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c34157"/>
    <w:rPr>
      <w:rFonts w:ascii="Calibri" w:hAnsi="Calibri" w:eastAsia="Calibri" w:cs="Times New Roman"/>
      <w:lang w:eastAsia="en-US"/>
    </w:rPr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c34157"/>
    <w:rPr>
      <w:rFonts w:ascii="Calibri" w:hAnsi="Calibri" w:eastAsia="Calibri" w:cs="Times New Roman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c34157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9"/>
    <w:uiPriority w:val="99"/>
    <w:qFormat/>
    <w:rsid w:val="00c34157"/>
    <w:rPr>
      <w:rFonts w:ascii="Calibri" w:hAnsi="Calibri" w:eastAsia="Calibri" w:cs="Times New Roman"/>
      <w:sz w:val="20"/>
      <w:szCs w:val="20"/>
      <w:lang w:eastAsia="en-US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c34157"/>
    <w:rPr>
      <w:rFonts w:ascii="Segoe UI" w:hAnsi="Segoe UI" w:eastAsia="Calibri" w:cs="Segoe UI"/>
      <w:sz w:val="18"/>
      <w:szCs w:val="18"/>
      <w:lang w:eastAsia="en-US"/>
    </w:rPr>
  </w:style>
  <w:style w:type="character" w:styleId="Style17" w:customStyle="1">
    <w:name w:val="Тема примечания Знак"/>
    <w:basedOn w:val="Style15"/>
    <w:link w:val="ad"/>
    <w:uiPriority w:val="99"/>
    <w:semiHidden/>
    <w:qFormat/>
    <w:rsid w:val="00c34157"/>
    <w:rPr>
      <w:rFonts w:ascii="Calibri" w:hAnsi="Calibri" w:eastAsia="Calibri" w:cs="Times New Roman"/>
      <w:b/>
      <w:bCs/>
      <w:sz w:val="20"/>
      <w:szCs w:val="20"/>
      <w:lang w:eastAsia="en-US"/>
    </w:rPr>
  </w:style>
  <w:style w:type="character" w:styleId="Blk" w:customStyle="1">
    <w:name w:val="blk"/>
    <w:qFormat/>
    <w:rsid w:val="00c34157"/>
    <w:rPr/>
  </w:style>
  <w:style w:type="character" w:styleId="Style18">
    <w:name w:val="Интернет-ссылка"/>
    <w:uiPriority w:val="99"/>
    <w:unhideWhenUsed/>
    <w:rsid w:val="00c34157"/>
    <w:rPr>
      <w:color w:val="0000FF"/>
      <w:u w:val="single"/>
    </w:rPr>
  </w:style>
  <w:style w:type="character" w:styleId="Nobr" w:customStyle="1">
    <w:name w:val="nobr"/>
    <w:qFormat/>
    <w:rsid w:val="00c34157"/>
    <w:rPr/>
  </w:style>
  <w:style w:type="character" w:styleId="Pta0000004" w:customStyle="1">
    <w:name w:val="pt-a0-000004"/>
    <w:basedOn w:val="DefaultParagraphFont"/>
    <w:qFormat/>
    <w:rsid w:val="002036e9"/>
    <w:rPr/>
  </w:style>
  <w:style w:type="character" w:styleId="Pta0" w:customStyle="1">
    <w:name w:val="pt-a0"/>
    <w:basedOn w:val="DefaultParagraphFont"/>
    <w:qFormat/>
    <w:rsid w:val="002036e9"/>
    <w:rPr/>
  </w:style>
  <w:style w:type="character" w:styleId="Pt000003" w:customStyle="1">
    <w:name w:val="pt-000003"/>
    <w:basedOn w:val="DefaultParagraphFont"/>
    <w:qFormat/>
    <w:rsid w:val="002036e9"/>
    <w:rPr/>
  </w:style>
  <w:style w:type="character" w:styleId="Pta0000007" w:customStyle="1">
    <w:name w:val="pt-a0-000007"/>
    <w:basedOn w:val="DefaultParagraphFont"/>
    <w:qFormat/>
    <w:rsid w:val="002036e9"/>
    <w:rPr/>
  </w:style>
  <w:style w:type="character" w:styleId="Pt000006" w:customStyle="1">
    <w:name w:val="pt-000006"/>
    <w:basedOn w:val="DefaultParagraphFont"/>
    <w:qFormat/>
    <w:rsid w:val="00460f76"/>
    <w:rPr/>
  </w:style>
  <w:style w:type="character" w:styleId="Pta0000019" w:customStyle="1">
    <w:name w:val="pt-a0-000019"/>
    <w:basedOn w:val="DefaultParagraphFont"/>
    <w:qFormat/>
    <w:rsid w:val="00460f76"/>
    <w:rPr/>
  </w:style>
  <w:style w:type="character" w:styleId="Pta0000022" w:customStyle="1">
    <w:name w:val="pt-a0-000022"/>
    <w:basedOn w:val="DefaultParagraphFont"/>
    <w:qFormat/>
    <w:rsid w:val="00460f76"/>
    <w:rPr/>
  </w:style>
  <w:style w:type="character" w:styleId="Pta0000023" w:customStyle="1">
    <w:name w:val="pt-a0-000023"/>
    <w:basedOn w:val="DefaultParagraphFont"/>
    <w:qFormat/>
    <w:rsid w:val="00460f76"/>
    <w:rPr/>
  </w:style>
  <w:style w:type="character" w:styleId="Pta0000026" w:customStyle="1">
    <w:name w:val="pt-a0-000026"/>
    <w:basedOn w:val="DefaultParagraphFont"/>
    <w:qFormat/>
    <w:rsid w:val="00460f76"/>
    <w:rPr/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c3415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c3415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c3415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5"/>
    <w:unhideWhenUsed/>
    <w:rsid w:val="00c34157"/>
    <w:pPr>
      <w:tabs>
        <w:tab w:val="clear" w:pos="708"/>
        <w:tab w:val="center" w:pos="4677" w:leader="none"/>
        <w:tab w:val="right" w:pos="9355" w:leader="none"/>
      </w:tabs>
      <w:spacing w:lineRule="auto" w:line="259" w:before="0" w:after="160"/>
    </w:pPr>
    <w:rPr>
      <w:rFonts w:ascii="Calibri" w:hAnsi="Calibri" w:eastAsia="Calibri" w:cs="Times New Roman"/>
      <w:lang w:eastAsia="en-US"/>
    </w:rPr>
  </w:style>
  <w:style w:type="paragraph" w:styleId="Style27">
    <w:name w:val="Footer"/>
    <w:basedOn w:val="Normal"/>
    <w:link w:val="a7"/>
    <w:uiPriority w:val="99"/>
    <w:unhideWhenUsed/>
    <w:rsid w:val="00c34157"/>
    <w:pPr>
      <w:tabs>
        <w:tab w:val="clear" w:pos="708"/>
        <w:tab w:val="center" w:pos="4677" w:leader="none"/>
        <w:tab w:val="right" w:pos="9355" w:leader="none"/>
      </w:tabs>
      <w:spacing w:lineRule="auto" w:line="259" w:before="0" w:after="160"/>
    </w:pPr>
    <w:rPr>
      <w:rFonts w:ascii="Calibri" w:hAnsi="Calibri" w:eastAsia="Calibri" w:cs="Times New Roman"/>
      <w:lang w:eastAsia="en-US"/>
    </w:rPr>
  </w:style>
  <w:style w:type="paragraph" w:styleId="Annotationtext">
    <w:name w:val="annotation text"/>
    <w:basedOn w:val="Normal"/>
    <w:link w:val="aa"/>
    <w:uiPriority w:val="99"/>
    <w:unhideWhenUsed/>
    <w:qFormat/>
    <w:rsid w:val="00c34157"/>
    <w:pPr>
      <w:spacing w:lineRule="auto" w:line="240"/>
    </w:pPr>
    <w:rPr>
      <w:rFonts w:ascii="Calibri" w:hAnsi="Calibri" w:eastAsia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c34157"/>
    <w:pPr>
      <w:spacing w:lineRule="auto" w:line="240" w:before="0" w:after="0"/>
    </w:pPr>
    <w:rPr>
      <w:rFonts w:ascii="Segoe UI" w:hAnsi="Segoe UI" w:eastAsia="Calibri" w:cs="Segoe UI"/>
      <w:sz w:val="18"/>
      <w:szCs w:val="18"/>
      <w:lang w:eastAsia="en-US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c34157"/>
    <w:pPr>
      <w:spacing w:lineRule="auto" w:line="259" w:before="0" w:after="160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341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600b5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2036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28" w:customStyle="1">
    <w:name w:val="Содержимое таблицы"/>
    <w:basedOn w:val="Standard"/>
    <w:qFormat/>
    <w:rsid w:val="002036e9"/>
    <w:pPr>
      <w:suppressLineNumbers/>
    </w:pPr>
    <w:rPr/>
  </w:style>
  <w:style w:type="paragraph" w:styleId="Pt000002" w:customStyle="1">
    <w:name w:val="pt-000002"/>
    <w:basedOn w:val="Normal"/>
    <w:qFormat/>
    <w:rsid w:val="002036e9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a000027" w:customStyle="1">
    <w:name w:val="pt-a-000027"/>
    <w:basedOn w:val="Normal"/>
    <w:qFormat/>
    <w:rsid w:val="002036e9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a000030" w:customStyle="1">
    <w:name w:val="pt-a-000030"/>
    <w:basedOn w:val="Normal"/>
    <w:qFormat/>
    <w:rsid w:val="002036e9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consplustitle" w:customStyle="1">
    <w:name w:val="pt-consplustitle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000005" w:customStyle="1">
    <w:name w:val="pt-000005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consplusnormal000012" w:customStyle="1">
    <w:name w:val="pt-consplusnormal-000012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a000014" w:customStyle="1">
    <w:name w:val="pt-a-000014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a000015" w:customStyle="1">
    <w:name w:val="pt-a-000015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000017" w:customStyle="1">
    <w:name w:val="pt-000017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a000018" w:customStyle="1">
    <w:name w:val="pt-a-000018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a3" w:customStyle="1">
    <w:name w:val="pt-a3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a000021" w:customStyle="1">
    <w:name w:val="pt-a-000021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consplusnormal000024" w:customStyle="1">
    <w:name w:val="pt-consplusnormal-000024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tconsplusnormal000025" w:customStyle="1">
    <w:name w:val="pt-consplusnormal-000025"/>
    <w:basedOn w:val="Normal"/>
    <w:qFormat/>
    <w:rsid w:val="00460f76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c34157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982882ECE46817BDEC6964E3B199531231DB415A677F75AD2873CF4C96328213E7D1D5315DgBcCH" TargetMode="External"/><Relationship Id="rId4" Type="http://schemas.openxmlformats.org/officeDocument/2006/relationships/hyperlink" Target="consultantplus://offline/ref=982882ECE46817BDEC6964E3B199531231DB415A677F75AD2873CF4C96328213E7D1D53D50gBc8H" TargetMode="External"/><Relationship Id="rId5" Type="http://schemas.openxmlformats.org/officeDocument/2006/relationships/hyperlink" Target="http://www.arti.midural.ru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Application>LibreOffice/7.2.5.2$Windows_X86_64 LibreOffice_project/499f9727c189e6ef3471021d6132d4c694f357e5</Application>
  <AppVersion>15.0000</AppVersion>
  <Pages>6</Pages>
  <Words>1774</Words>
  <Characters>12776</Characters>
  <CharactersWithSpaces>14789</CharactersWithSpaces>
  <Paragraphs>114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2021-07-27T09:31:00Z</dcterms:created>
  <dc:creator>Мак</dc:creator>
  <dc:description/>
  <dc:language>ru-RU</dc:language>
  <cp:lastModifiedBy/>
  <cp:lastPrinted>2023-01-27T11:20:09Z</cp:lastPrinted>
  <dcterms:modified xsi:type="dcterms:W3CDTF">2024-09-03T16:02:33Z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