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3" w:type="pct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186"/>
        <w:gridCol w:w="480"/>
        <w:gridCol w:w="1080"/>
        <w:gridCol w:w="745"/>
        <w:gridCol w:w="484"/>
        <w:gridCol w:w="1591"/>
        <w:gridCol w:w="5266"/>
      </w:tblGrid>
      <w:tr w:rsidR="0009025C" w:rsidRPr="00101672" w:rsidTr="0009025C">
        <w:trPr>
          <w:trHeight w:val="92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9025C" w:rsidRPr="00101672" w:rsidRDefault="0009025C" w:rsidP="0055691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101672">
              <w:rPr>
                <w:rFonts w:ascii="Times New Roman" w:eastAsia="Times New Roman" w:hAnsi="Times New Roman" w:cs="Mangal"/>
                <w:noProof/>
                <w:kern w:val="2"/>
                <w:sz w:val="28"/>
                <w:szCs w:val="24"/>
                <w:lang w:eastAsia="ru-RU"/>
              </w:rPr>
              <w:drawing>
                <wp:inline distT="0" distB="0" distL="0" distR="0" wp14:anchorId="7EAB1D4D" wp14:editId="059004CB">
                  <wp:extent cx="514350" cy="590550"/>
                  <wp:effectExtent l="0" t="0" r="0" b="0"/>
                  <wp:docPr id="3" name="Рисунок 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025C" w:rsidRPr="00101672" w:rsidTr="0009025C">
        <w:trPr>
          <w:trHeight w:val="1166"/>
        </w:trPr>
        <w:tc>
          <w:tcPr>
            <w:tcW w:w="5000" w:type="pct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025C" w:rsidRPr="00101672" w:rsidRDefault="0009025C" w:rsidP="00556911">
            <w:pPr>
              <w:tabs>
                <w:tab w:val="left" w:pos="312"/>
                <w:tab w:val="left" w:pos="1560"/>
                <w:tab w:val="left" w:pos="26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101672">
              <w:rPr>
                <w:rFonts w:ascii="Times New Roman" w:eastAsia="Times New Roman" w:hAnsi="Times New Roman" w:cs="Mangal"/>
                <w:b/>
                <w:kern w:val="2"/>
                <w:sz w:val="28"/>
                <w:szCs w:val="24"/>
                <w:lang w:eastAsia="hi-IN" w:bidi="hi-IN"/>
              </w:rPr>
              <w:t>АДМИНИСТРАЦИЯ АРТИНСКОГО ГОРОДСКОГО ОКРУГА</w:t>
            </w:r>
          </w:p>
          <w:p w:rsidR="0009025C" w:rsidRPr="00101672" w:rsidRDefault="0009025C" w:rsidP="0055691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kern w:val="2"/>
                <w:sz w:val="16"/>
                <w:szCs w:val="16"/>
                <w:lang w:eastAsia="hi-IN" w:bidi="hi-IN"/>
              </w:rPr>
            </w:pPr>
            <w:r w:rsidRPr="00101672">
              <w:rPr>
                <w:rFonts w:ascii="Times New Roman" w:eastAsia="Times New Roman" w:hAnsi="Times New Roman" w:cs="Mangal"/>
                <w:b/>
                <w:kern w:val="2"/>
                <w:sz w:val="28"/>
                <w:szCs w:val="24"/>
                <w:lang w:eastAsia="hi-IN" w:bidi="hi-IN"/>
              </w:rPr>
              <w:t>ПОСТАНОВЛЕНИЕ</w:t>
            </w:r>
          </w:p>
        </w:tc>
      </w:tr>
      <w:tr w:rsidR="0009025C" w:rsidRPr="00101672" w:rsidTr="0009025C">
        <w:tblPrEx>
          <w:tblBorders>
            <w:bottom w:val="none" w:sz="0" w:space="0" w:color="auto"/>
          </w:tblBorders>
        </w:tblPrEx>
        <w:trPr>
          <w:gridBefore w:val="1"/>
          <w:gridAfter w:val="1"/>
          <w:wBefore w:w="95" w:type="pct"/>
          <w:wAfter w:w="2678" w:type="pct"/>
        </w:trPr>
        <w:tc>
          <w:tcPr>
            <w:tcW w:w="244" w:type="pct"/>
            <w:hideMark/>
          </w:tcPr>
          <w:p w:rsidR="0009025C" w:rsidRPr="00101672" w:rsidRDefault="0009025C" w:rsidP="0055691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101672">
              <w:rPr>
                <w:rFonts w:ascii="Times New Roman" w:eastAsia="Times New Roman" w:hAnsi="Times New Roman" w:cs="Mangal"/>
                <w:kern w:val="2"/>
                <w:sz w:val="28"/>
                <w:szCs w:val="24"/>
                <w:lang w:eastAsia="hi-IN" w:bidi="hi-IN"/>
              </w:rPr>
              <w:t>от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025C" w:rsidRPr="00101672" w:rsidRDefault="0009025C" w:rsidP="0055691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101672"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  <w:t>31.05.2018</w:t>
            </w:r>
          </w:p>
        </w:tc>
        <w:tc>
          <w:tcPr>
            <w:tcW w:w="246" w:type="pct"/>
            <w:hideMark/>
          </w:tcPr>
          <w:p w:rsidR="0009025C" w:rsidRPr="00101672" w:rsidRDefault="0009025C" w:rsidP="0055691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101672">
              <w:rPr>
                <w:rFonts w:ascii="Times New Roman" w:eastAsia="Times New Roman" w:hAnsi="Times New Roman" w:cs="Mangal"/>
                <w:kern w:val="2"/>
                <w:sz w:val="28"/>
                <w:szCs w:val="24"/>
                <w:lang w:eastAsia="hi-IN" w:bidi="hi-IN"/>
              </w:rPr>
              <w:t>№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9025C" w:rsidRPr="00101672" w:rsidRDefault="0009025C" w:rsidP="0055691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</w:pPr>
            <w:r w:rsidRPr="00101672"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  <w:t>355</w:t>
            </w:r>
          </w:p>
        </w:tc>
      </w:tr>
      <w:tr w:rsidR="0009025C" w:rsidRPr="00101672" w:rsidTr="0009025C">
        <w:tblPrEx>
          <w:tblBorders>
            <w:bottom w:val="none" w:sz="0" w:space="0" w:color="auto"/>
          </w:tblBorders>
        </w:tblPrEx>
        <w:trPr>
          <w:gridBefore w:val="1"/>
          <w:gridAfter w:val="4"/>
          <w:wBefore w:w="95" w:type="pct"/>
          <w:wAfter w:w="4112" w:type="pct"/>
          <w:trHeight w:val="363"/>
        </w:trPr>
        <w:tc>
          <w:tcPr>
            <w:tcW w:w="793" w:type="pct"/>
            <w:gridSpan w:val="2"/>
          </w:tcPr>
          <w:p w:rsidR="0009025C" w:rsidRPr="00101672" w:rsidRDefault="0009025C" w:rsidP="00556911">
            <w:pPr>
              <w:suppressAutoHyphens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16"/>
                <w:szCs w:val="16"/>
                <w:lang w:eastAsia="hi-IN" w:bidi="hi-IN"/>
              </w:rPr>
            </w:pPr>
          </w:p>
          <w:p w:rsidR="0009025C" w:rsidRPr="00101672" w:rsidRDefault="0009025C" w:rsidP="0055691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</w:pPr>
            <w:proofErr w:type="spellStart"/>
            <w:r w:rsidRPr="00101672">
              <w:rPr>
                <w:rFonts w:ascii="Times New Roman" w:eastAsia="Times New Roman" w:hAnsi="Times New Roman" w:cs="Mangal"/>
                <w:kern w:val="2"/>
                <w:sz w:val="28"/>
                <w:szCs w:val="24"/>
                <w:lang w:eastAsia="hi-IN" w:bidi="hi-IN"/>
              </w:rPr>
              <w:t>р.п</w:t>
            </w:r>
            <w:proofErr w:type="spellEnd"/>
            <w:r w:rsidRPr="00101672">
              <w:rPr>
                <w:rFonts w:ascii="Times New Roman" w:eastAsia="Times New Roman" w:hAnsi="Times New Roman" w:cs="Mangal"/>
                <w:kern w:val="2"/>
                <w:sz w:val="28"/>
                <w:szCs w:val="24"/>
                <w:lang w:eastAsia="hi-IN" w:bidi="hi-IN"/>
              </w:rPr>
              <w:t>. Арти</w:t>
            </w:r>
          </w:p>
        </w:tc>
      </w:tr>
    </w:tbl>
    <w:p w:rsidR="0009025C" w:rsidRDefault="0009025C" w:rsidP="0009025C">
      <w:pPr>
        <w:suppressAutoHyphens/>
        <w:spacing w:after="0" w:line="240" w:lineRule="auto"/>
        <w:rPr>
          <w:rFonts w:ascii="Arial" w:eastAsia="Times New Roman" w:hAnsi="Arial" w:cs="Mangal"/>
          <w:kern w:val="2"/>
          <w:sz w:val="24"/>
          <w:szCs w:val="24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7"/>
      </w:tblGrid>
      <w:tr w:rsidR="0009025C" w:rsidRPr="00101672" w:rsidTr="0009025C">
        <w:tc>
          <w:tcPr>
            <w:tcW w:w="9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025C" w:rsidRPr="00101672" w:rsidRDefault="0009025C" w:rsidP="00556911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bCs/>
                <w:i/>
                <w:iCs/>
                <w:kern w:val="2"/>
                <w:sz w:val="28"/>
                <w:szCs w:val="28"/>
                <w:lang w:eastAsia="hi-IN" w:bidi="hi-IN"/>
              </w:rPr>
            </w:pPr>
            <w:r w:rsidRPr="00101672">
              <w:rPr>
                <w:rFonts w:ascii="Times New Roman" w:eastAsia="Times New Roman" w:hAnsi="Times New Roman" w:cs="Mangal"/>
                <w:b/>
                <w:bCs/>
                <w:i/>
                <w:iCs/>
                <w:kern w:val="2"/>
                <w:sz w:val="28"/>
                <w:szCs w:val="24"/>
                <w:lang w:eastAsia="hi-IN" w:bidi="hi-IN"/>
              </w:rPr>
              <w:t>Об утверждении Плана мероприятий («Дорожной карты») по повышению эффективности деятельности органов местного самоуправления Артинского городского округа на 2018-2019 годы</w:t>
            </w:r>
          </w:p>
        </w:tc>
      </w:tr>
      <w:tr w:rsidR="0009025C" w:rsidRPr="00101672" w:rsidTr="0009025C">
        <w:tblPrEx>
          <w:tblLook w:val="01E0" w:firstRow="1" w:lastRow="1" w:firstColumn="1" w:lastColumn="1" w:noHBand="0" w:noVBand="0"/>
        </w:tblPrEx>
        <w:tc>
          <w:tcPr>
            <w:tcW w:w="9797" w:type="dxa"/>
            <w:tcBorders>
              <w:top w:val="nil"/>
              <w:left w:val="nil"/>
              <w:bottom w:val="nil"/>
              <w:right w:val="nil"/>
            </w:tcBorders>
          </w:tcPr>
          <w:p w:rsidR="0009025C" w:rsidRDefault="0009025C" w:rsidP="00556911">
            <w:pPr>
              <w:suppressAutoHyphens/>
              <w:overflowPunct w:val="0"/>
              <w:spacing w:after="0" w:line="240" w:lineRule="auto"/>
              <w:ind w:left="-108" w:firstLine="612"/>
              <w:jc w:val="both"/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  <w:p w:rsidR="0009025C" w:rsidRPr="00101672" w:rsidRDefault="0009025C" w:rsidP="00556911">
            <w:pPr>
              <w:suppressAutoHyphens/>
              <w:overflowPunct w:val="0"/>
              <w:spacing w:after="0" w:line="240" w:lineRule="auto"/>
              <w:ind w:left="-108" w:firstLine="612"/>
              <w:jc w:val="both"/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</w:pPr>
            <w:proofErr w:type="gramStart"/>
            <w:r w:rsidRPr="00101672"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  <w:t>В соответствии с Указом Президента от 14.10.2012 г. № 1384 «О внесении изменений в Указ Президента Российской Федерации от 28 апреля 2008 г. № 607 «Об оценке эффективности деятельности органов местного самоуправления городских округов и муниципальных районов»,  постановлением Правительства Свердловской области от 12.04.2013 № 485- ПП «О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</w:t>
            </w:r>
            <w:proofErr w:type="gramEnd"/>
            <w:r w:rsidRPr="00101672"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  <w:t xml:space="preserve"> муниципальных районов, расположенных на территории Свердловской области»,  с Бюджетным Кодексом Российской Федерации, руководствуясь Уставом Артинского городского округа</w:t>
            </w:r>
          </w:p>
          <w:p w:rsidR="0009025C" w:rsidRPr="00101672" w:rsidRDefault="0009025C" w:rsidP="00556911">
            <w:pPr>
              <w:suppressAutoHyphens/>
              <w:overflowPunct w:val="0"/>
              <w:spacing w:after="0" w:line="240" w:lineRule="auto"/>
              <w:ind w:left="-108" w:firstLine="612"/>
              <w:jc w:val="both"/>
              <w:rPr>
                <w:rFonts w:ascii="Times New Roman" w:eastAsia="Times New Roman" w:hAnsi="Times New Roman" w:cs="Mangal"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09025C" w:rsidRPr="00101672" w:rsidRDefault="0009025C" w:rsidP="0009025C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Mangal"/>
          <w:b/>
          <w:bCs/>
          <w:kern w:val="2"/>
          <w:sz w:val="28"/>
          <w:szCs w:val="24"/>
          <w:lang w:eastAsia="hi-IN" w:bidi="hi-IN"/>
        </w:rPr>
      </w:pPr>
      <w:r w:rsidRPr="00101672">
        <w:rPr>
          <w:rFonts w:ascii="Times New Roman" w:eastAsia="Times New Roman" w:hAnsi="Times New Roman" w:cs="Mangal"/>
          <w:b/>
          <w:bCs/>
          <w:kern w:val="2"/>
          <w:sz w:val="28"/>
          <w:szCs w:val="24"/>
          <w:lang w:eastAsia="hi-IN" w:bidi="hi-IN"/>
        </w:rPr>
        <w:t>ПОСТАНОВЛЯЮ:</w:t>
      </w:r>
    </w:p>
    <w:p w:rsidR="0009025C" w:rsidRPr="00101672" w:rsidRDefault="0009025C" w:rsidP="0009025C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Mangal"/>
          <w:b/>
          <w:bCs/>
          <w:kern w:val="2"/>
          <w:sz w:val="28"/>
          <w:szCs w:val="28"/>
          <w:lang w:eastAsia="hi-IN" w:bidi="hi-IN"/>
        </w:rPr>
      </w:pPr>
    </w:p>
    <w:p w:rsidR="0009025C" w:rsidRPr="00101672" w:rsidRDefault="0009025C" w:rsidP="0009025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</w:pPr>
      <w:r w:rsidRPr="00101672"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  <w:t>1.</w:t>
      </w:r>
      <w:r w:rsidRPr="00101672">
        <w:rPr>
          <w:rFonts w:ascii="Times New Roman" w:eastAsia="Times New Roman" w:hAnsi="Times New Roman" w:cs="Mangal"/>
          <w:b/>
          <w:bCs/>
          <w:kern w:val="2"/>
          <w:sz w:val="28"/>
          <w:szCs w:val="24"/>
          <w:lang w:eastAsia="hi-IN" w:bidi="hi-IN"/>
        </w:rPr>
        <w:t xml:space="preserve"> </w:t>
      </w:r>
      <w:r w:rsidRPr="00101672"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  <w:t>Утвердить План мероприятий («Дорожную карту») по повышению эффективности деятельности органов местного самоуправления Артинского городского округа на 2018-2019 годы (прилагается).</w:t>
      </w:r>
    </w:p>
    <w:p w:rsidR="0009025C" w:rsidRPr="00101672" w:rsidRDefault="0009025C" w:rsidP="0009025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</w:pPr>
      <w:r w:rsidRPr="00101672"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  <w:t>2. Функциональным (отраслевым) органам, структурным подразделениям Администрации Артинского городского округа обеспечить исполнение Плана мероприятий («Дорожной карты») по повышению эффективности деятельности органов местного самоуправления Артинского городского округа.</w:t>
      </w:r>
    </w:p>
    <w:p w:rsidR="0009025C" w:rsidRPr="00101672" w:rsidRDefault="0009025C" w:rsidP="0009025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</w:pPr>
      <w:r w:rsidRPr="00101672"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  <w:t xml:space="preserve">3. </w:t>
      </w:r>
      <w:proofErr w:type="gramStart"/>
      <w:r w:rsidRPr="00101672"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  <w:t>Разместить</w:t>
      </w:r>
      <w:proofErr w:type="gramEnd"/>
      <w:r w:rsidRPr="00101672">
        <w:rPr>
          <w:rFonts w:ascii="Times New Roman" w:eastAsia="Times New Roman" w:hAnsi="Times New Roman" w:cs="Mangal"/>
          <w:bCs/>
          <w:kern w:val="2"/>
          <w:sz w:val="28"/>
          <w:szCs w:val="24"/>
          <w:lang w:eastAsia="hi-IN" w:bidi="hi-IN"/>
        </w:rPr>
        <w:t xml:space="preserve"> настоящее постановление на официальном сайте Администрации Артинского городского округа.</w:t>
      </w:r>
    </w:p>
    <w:p w:rsidR="0009025C" w:rsidRPr="00101672" w:rsidRDefault="0009025C" w:rsidP="0009025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 xml:space="preserve">4. </w:t>
      </w:r>
      <w:proofErr w:type="gramStart"/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>Контроль за</w:t>
      </w:r>
      <w:proofErr w:type="gramEnd"/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 xml:space="preserve"> исполнением настоящего постановления возложить на заместителя Главы Администрации Артинского городского округа Сыворотко </w:t>
      </w:r>
      <w:proofErr w:type="spellStart"/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>Т.М</w:t>
      </w:r>
      <w:proofErr w:type="spellEnd"/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>.</w:t>
      </w:r>
    </w:p>
    <w:p w:rsidR="0009025C" w:rsidRDefault="0009025C" w:rsidP="0009025C">
      <w:pPr>
        <w:suppressAutoHyphens/>
        <w:spacing w:after="0" w:line="240" w:lineRule="auto"/>
        <w:jc w:val="center"/>
        <w:rPr>
          <w:rFonts w:ascii="Times New Roman" w:eastAsia="Times New Roman" w:hAnsi="Times New Roman" w:cs="Mangal"/>
          <w:bCs/>
          <w:iCs/>
          <w:kern w:val="2"/>
          <w:sz w:val="24"/>
          <w:szCs w:val="24"/>
          <w:lang w:eastAsia="hi-IN" w:bidi="hi-IN"/>
        </w:rPr>
      </w:pPr>
    </w:p>
    <w:p w:rsidR="0009025C" w:rsidRPr="00101672" w:rsidRDefault="0009025C" w:rsidP="0009025C">
      <w:pPr>
        <w:suppressAutoHyphens/>
        <w:spacing w:after="0" w:line="240" w:lineRule="auto"/>
        <w:jc w:val="center"/>
        <w:rPr>
          <w:rFonts w:ascii="Times New Roman" w:eastAsia="Times New Roman" w:hAnsi="Times New Roman" w:cs="Mangal"/>
          <w:bCs/>
          <w:iCs/>
          <w:kern w:val="2"/>
          <w:sz w:val="24"/>
          <w:szCs w:val="24"/>
          <w:lang w:eastAsia="hi-IN" w:bidi="hi-IN"/>
        </w:rPr>
      </w:pPr>
      <w:bookmarkStart w:id="0" w:name="_GoBack"/>
      <w:bookmarkEnd w:id="0"/>
    </w:p>
    <w:p w:rsidR="0009025C" w:rsidRDefault="0009025C" w:rsidP="0009025C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>Глава Артинского городского округа</w:t>
      </w:r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ab/>
        <w:t xml:space="preserve">                           </w:t>
      </w:r>
      <w:proofErr w:type="spellStart"/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>А.А</w:t>
      </w:r>
      <w:proofErr w:type="spellEnd"/>
      <w:r w:rsidRPr="00101672"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t>. Константинов</w:t>
      </w: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</w:p>
    <w:p w:rsidR="0009025C" w:rsidRDefault="0009025C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</w:pPr>
      <w: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br w:type="page"/>
      </w:r>
    </w:p>
    <w:p w:rsidR="0009025C" w:rsidRDefault="0009025C" w:rsidP="00101672">
      <w:pPr>
        <w:rPr>
          <w:rFonts w:ascii="Times New Roman" w:eastAsia="Times New Roman" w:hAnsi="Times New Roman" w:cs="Mangal"/>
          <w:bCs/>
          <w:iCs/>
          <w:kern w:val="2"/>
          <w:sz w:val="28"/>
          <w:szCs w:val="24"/>
          <w:lang w:eastAsia="hi-IN" w:bidi="hi-IN"/>
        </w:rPr>
        <w:sectPr w:rsidR="0009025C" w:rsidSect="0009025C">
          <w:pgSz w:w="12240" w:h="15840" w:code="1"/>
          <w:pgMar w:top="1134" w:right="850" w:bottom="1134" w:left="1701" w:header="708" w:footer="708" w:gutter="0"/>
          <w:cols w:space="708"/>
          <w:docGrid w:linePitch="360"/>
        </w:sectPr>
      </w:pPr>
    </w:p>
    <w:p w:rsidR="000E3C8E" w:rsidRPr="000E3C8E" w:rsidRDefault="000E3C8E" w:rsidP="000E3C8E">
      <w:pPr>
        <w:spacing w:after="0" w:line="240" w:lineRule="auto"/>
        <w:ind w:left="92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Утверждено </w:t>
      </w:r>
    </w:p>
    <w:p w:rsidR="000E3C8E" w:rsidRPr="000E3C8E" w:rsidRDefault="000E3C8E" w:rsidP="000E3C8E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Артинского городского округа от   31.05.2018 г.  № 355</w:t>
      </w:r>
    </w:p>
    <w:p w:rsidR="000E3C8E" w:rsidRPr="000E3C8E" w:rsidRDefault="000E3C8E" w:rsidP="000E3C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E3C8E" w:rsidRPr="000E3C8E" w:rsidRDefault="000E3C8E" w:rsidP="000E3C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 («Дорожная карта»)</w:t>
      </w:r>
    </w:p>
    <w:p w:rsidR="000E3C8E" w:rsidRPr="000E3C8E" w:rsidRDefault="000E3C8E" w:rsidP="000E3C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достижению целевых </w:t>
      </w:r>
      <w:proofErr w:type="gramStart"/>
      <w:r w:rsidRPr="000E3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показателей эффективности деятельности органов местного самоуправления</w:t>
      </w:r>
      <w:proofErr w:type="gramEnd"/>
      <w:r w:rsidRPr="000E3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Артинского городского округа</w:t>
      </w:r>
    </w:p>
    <w:p w:rsidR="000E3C8E" w:rsidRPr="000E3C8E" w:rsidRDefault="000E3C8E" w:rsidP="000E3C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383"/>
        <w:gridCol w:w="1418"/>
        <w:gridCol w:w="1417"/>
        <w:gridCol w:w="7088"/>
        <w:gridCol w:w="1417"/>
      </w:tblGrid>
      <w:tr w:rsidR="0009025C" w:rsidRPr="000E3C8E" w:rsidTr="0009025C">
        <w:trPr>
          <w:cantSplit/>
          <w:trHeight w:val="113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 показателя на текущий год (2018 год)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Значение показателя на планируемый год 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(2019 год)</w:t>
            </w:r>
          </w:p>
        </w:tc>
      </w:tr>
      <w:tr w:rsidR="000E3C8E" w:rsidRPr="000E3C8E" w:rsidTr="0009025C"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Экономическое развитие</w:t>
            </w:r>
          </w:p>
        </w:tc>
      </w:tr>
      <w:tr w:rsidR="0009025C" w:rsidRPr="000E3C8E" w:rsidTr="0009025C">
        <w:trPr>
          <w:trHeight w:val="36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субъектов малого и среднего предпринимательства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 тыс. человек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Предоставление субсидий субъектам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МСП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возмещение части затрат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09025C" w:rsidRPr="000E3C8E" w:rsidTr="0009025C">
        <w:trPr>
          <w:trHeight w:val="36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Содействие развитию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-ярмарочной деятельности субъектов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МСП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5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и консультационная поддержка (выпуск информационных материалов через средства массовой информации, методических пособий, организация конференций, "круглых столов", семинаров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5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Предоставление субъектам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МСП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услуг, связанных с подготовкой, переподготовкой и повышением квалификации.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5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Проведение районных конкурсов в сфере Агропромышленного комплекса. Организация постоянно действующей выставки местных товаропроизводителей.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34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среднесписочной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численности работников (без внешних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совмести-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малых и средних предприятий в среднесписочной численности работников (без внешних совмести-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всех предприятий и организаций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Предоставление субсидий субъектам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МСП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возмещение части затрат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09025C" w:rsidRPr="000E3C8E" w:rsidTr="0009025C">
        <w:trPr>
          <w:trHeight w:val="31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и консультационная поддержка (выпуск информационных материалов через средства массовой информации, методических пособий, организация конференций, "круглых столов", семинаров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1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Предоставление субъектам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МСП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услуг, связанных с подготовкой, переподготовкой и повышением квалификации.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3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инвестиций в основной капитал (за исключением бюджетных средств)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жителя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10 760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рамках реализации приоритетного проекта «Формирование комфортной городской среды на 2018-2022 годы»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Арти на условиях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областного и местного бюджетов благоустройство 2 объектов: </w:t>
            </w:r>
          </w:p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дворовая территория многоквартирного дома в п.Арти ул. Р.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62;</w:t>
            </w:r>
          </w:p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Парк культуры и отдыха им. 1 Мая в центре посёлка.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10 760</w:t>
            </w:r>
          </w:p>
        </w:tc>
      </w:tr>
      <w:tr w:rsidR="0009025C" w:rsidRPr="000E3C8E" w:rsidTr="0009025C">
        <w:trPr>
          <w:trHeight w:val="33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Реконструкция тепловых сетей котельной № 9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рти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3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Строительство канализационной станции и реконструкция напорного коллектора в микрорайоне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ПМК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рти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3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Строительство 36- квартирного дома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Арти, ул. Королева, 55, площадью 1 354,6 кв. м.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3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Благоустройство Зоны отдыха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Арти, ул. Королева (у пруда)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1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площади земельных участков, являющихся объектами налогообложения земельным налогом, в общей площади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территории городского округа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на основе Единого государственного реестра недвижимости отдельных перечней земельных участков, по которым имеются сведения о правообладателях и по которым такие сведения отсутствуют, находящихся в муниципальных образованиях, расположенных на территории Свердловской области, за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исключе-нием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объектов, имеющих статус «временные», в отношении которых:</w:t>
            </w:r>
            <w:proofErr w:type="gramEnd"/>
          </w:p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 не установлена кадастровая стоимость по причине отсутствия сведений о категории земель и (или) виде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использования или значение кадастровой стоимости определено в размере менее 100 рублей;</w:t>
            </w:r>
          </w:p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отсутствуют адресные сведения, позволяющие привести адрес объекта в соответствие со структурой адресных данных, предусмотренной для ведения федеральной информационной адресной системы;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разрешенное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земельного участка не позволяет однозначно отнести земельный участок к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определенной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группе видов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50,5 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991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рейдовых мероприятий в рамках межведомственных комиссий («мобильных групп») по выявлению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неучтенных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земельных участков и мероприятий земельного контроля по вопросу целевого использования земельных участков.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79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3.Проведение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определению (уточнению) характеристик земельных участков, позволяющих определить их кадастровую стоимость и (или) собственника имущества.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12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4.Направление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Управление Федеральной службы государственной регистрации, кадастра и картографии по Свердловской области документов в порядке межведомственного информационного взаимодействия для последующего внесения сведений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ЕГРН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7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5.Реализация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в рамках муниципального земельного контроля по выявлению следующих земельных участков:</w:t>
            </w:r>
          </w:p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неиспользуемых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целевому назначению;</w:t>
            </w:r>
          </w:p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 невостребованных участков, долей,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земель сельскохозяйственного назначения с последующим принятием мер по оформлению их в муниципальную собственность.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02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6.Формирование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перечней земельных участков, отвечающих критериям, установленным пунктами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16 статьи 396 Налогового кодекса Российской Федерации, с последующим их направлением в территориальные налоговые органы.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прибыльных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сельскохозяйственных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их числе</w:t>
            </w:r>
          </w:p>
          <w:p w:rsidR="000E3C8E" w:rsidRPr="000E3C8E" w:rsidRDefault="000E3C8E" w:rsidP="000E3C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Организация и проведение соревнований между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предприятиями, отделениями, бригадами и работниками агропромышленного комплекса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Организация и проведение праздника,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Дню работника сельского хозяйства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содействие достижению целевых показателей региональных программ развития агропромышленного комплекса" государственной программы Свердловской области "Развитие агропромышленного комплекса и потребительского рынка Свердловской области до 2024 года",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утвержденной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Постановлением Правительства Свердловской области от 23.10.2013 N 1285-ПП "Об утверждении государственной программы Свердловской области "Развитие агропромышленного комплекса и потребительского рынка Свердловской области до 2024 года".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значения, не отвечающих нормативным требованиям, в общей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Реконструкция, капитальный ремонт и ремонт автомобильных дорог, мостов общего пользования местного значения Артинского городского округа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Разработка проектно-сметной документации на объекты реконструкции и капитального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и мостов общего пользования местного значения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Разработка сметной документации, проведение проверки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достоверности 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Строительный контроль, авторский надзор на реконструкцию, капитальный ремонт и ремонт автомобильных дорог, мостов общего пользования местного значения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51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прожи-вающего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пунктах, не имеющих регулярного автобусного и (или)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железнодорож-ного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сообщения с административным центром городского округа, в общей численности населения городского округа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Осуществление регулярных перевозок по регулируемым тарифам на перевозку пассажиров и багажа автомобильным транспортом общего пользования по муниципальным маршрутам в Артинском городском округе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09025C" w:rsidRPr="000E3C8E" w:rsidTr="0009025C">
        <w:trPr>
          <w:trHeight w:val="24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8.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крупных и средних предприятий и некоммерческих организаций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24 706.10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Мониторинг уровня среднемесячной заработной платы на крупных и средних предприятиях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25 941,40</w:t>
            </w: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муниципальных дошкольных образовательных 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18 768,80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Финансовое обеспечение государственных гарантий прав граждан на получение общедоступного и бесплатного дошкольного  образования в муниципальных дошкольных организациях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18 956,49</w:t>
            </w: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Организация предоставления дошкольного образования, создание условий для функционирования муниципальных дошкольных образовательных организаций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 мониторинга численности и размеров заработной платы работников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дошкольных образовательных учреждений.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муниципальных общеобразовательных 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25 869,50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Финансовое обеспечение государственных гарантий прав граждан на получение общего образования в муниципальных общеобразовательных организациях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26 128,20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бесплатного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 мониторинга численности и размеров заработной платы работников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образовательных учреждений.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учителей муниципальных образовательных 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272,80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keepNext/>
              <w:tabs>
                <w:tab w:val="left" w:pos="4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Финансовое обеспечение государственных гарантий прав граждан на получение общего образования в муниципальных общеобразовательных организациях.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31 585,53</w:t>
            </w: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keepNext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Организация мониторинга численности и размеров заработной платы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муниципальных образовательных учреждений.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keepNext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Организация мониторинга численности и размеров заработной платы работников муниципальных учреждений физической культуры и спорта Артинского городского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муниципальных учреждений культуры и искусства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32 183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Финансовое обеспечение деятельности учреждений культуры.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32 183</w:t>
            </w: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мониторинга численности и размеров заработной платы работников муниципальных учреждений культуры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641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муниципальных учреждений физической культуры и спорта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17 000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Финансовое обеспечение деятельности учреждений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физической культуры и спорта.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17 500</w:t>
            </w:r>
          </w:p>
        </w:tc>
      </w:tr>
      <w:tr w:rsidR="0009025C" w:rsidRPr="000E3C8E" w:rsidTr="0009025C">
        <w:trPr>
          <w:trHeight w:val="83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мониторинга численности и размеров заработной платы работников муниципальных учреждений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 и спорта</w:t>
            </w: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C8E" w:rsidRPr="000E3C8E" w:rsidTr="0009025C">
        <w:trPr>
          <w:trHeight w:val="315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Дошкольное образование</w:t>
            </w:r>
          </w:p>
        </w:tc>
      </w:tr>
      <w:tr w:rsidR="0009025C" w:rsidRPr="000E3C8E" w:rsidTr="0009025C">
        <w:trPr>
          <w:trHeight w:val="154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в возрасте от одного года до шести лет, получающих дошкольную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-тельную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услугу и (или) услугу по их содержа-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муниципальных образовательных учреждениях, в общей численности детей в возрасте от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одного года до шести лет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организациях.</w:t>
            </w:r>
          </w:p>
          <w:p w:rsidR="000E3C8E" w:rsidRPr="000E3C8E" w:rsidRDefault="000E3C8E" w:rsidP="000E3C8E">
            <w:pPr>
              <w:spacing w:after="0" w:line="240" w:lineRule="auto"/>
              <w:ind w:left="3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09025C" w:rsidRPr="000E3C8E" w:rsidTr="0009025C">
        <w:trPr>
          <w:trHeight w:val="189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функционирования муниципальных дошкольных образовательных организаций</w:t>
            </w:r>
          </w:p>
          <w:p w:rsidR="000E3C8E" w:rsidRPr="000E3C8E" w:rsidRDefault="000E3C8E" w:rsidP="000E3C8E">
            <w:pPr>
              <w:spacing w:after="0" w:line="240" w:lineRule="auto"/>
              <w:ind w:left="39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10.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в возрасте от одного года до шести лет, состоящих на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определения в муниципальные дошкольные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-тельные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учреждения, в общей численности детей в возрасте от одного года до шести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Открытие дополнительных групп раннего возраста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Капелька.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9025C" w:rsidRPr="000E3C8E" w:rsidTr="0009025C">
        <w:trPr>
          <w:trHeight w:val="41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дошкольных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-тельных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учреждений, здания которых находятся в аварийном состоянии или требуют капитального ремонта, в общем числе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муници-пальных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дошкольных образовательных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Строительство нового здания «Начальная школа – детский сад на 100 мест в с.Пристань»: </w:t>
            </w:r>
          </w:p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защита инвестиционного проекта на строительство Школ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сада на в с. Пристань в Министерстве экономики Свердловской области. </w:t>
            </w:r>
          </w:p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направление заявки Артинского городского округа в Министерство общего и профессионального образования Свердловской области на включение в реализацию подпрограммы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утверждённой постановлением Правительства Свердловской области от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24.10.2013 № 1296-ПП  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</w:tr>
      <w:tr w:rsidR="0009025C" w:rsidRPr="000E3C8E" w:rsidTr="0009025C">
        <w:trPr>
          <w:trHeight w:val="254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Замена деревянных зданий детского сада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Сажино Артинского района, перевод групп детского сада в здание Сажинской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2021 года:</w:t>
            </w:r>
          </w:p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Разработка в 2019 году проектно-сметной документации на реконструкцию Сажинской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муниципальной программы «О создании новых мест в общеобразовательных организациях Артинского городского округа  в соответствии с прогнозируемой потребностью и современными условиями обучения, </w:t>
            </w:r>
          </w:p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Реконструкция Сажинской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2020-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2021гг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32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Проведение капитального ремонта в дошкольных образовательных организациях Артинского городского округа:</w:t>
            </w:r>
          </w:p>
          <w:p w:rsidR="000E3C8E" w:rsidRPr="000E3C8E" w:rsidRDefault="000E3C8E" w:rsidP="000E3C8E">
            <w:pPr>
              <w:tabs>
                <w:tab w:val="left" w:pos="42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Филиал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«Малокарзинская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детский сад д. Ильчигулово (замена кровли, оконных блоков, полов)  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E3C8E" w:rsidRPr="000E3C8E" w:rsidTr="0009025C">
        <w:trPr>
          <w:trHeight w:val="315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Общее и дополнительное образование</w:t>
            </w:r>
          </w:p>
        </w:tc>
      </w:tr>
      <w:tr w:rsidR="0009025C" w:rsidRPr="000E3C8E" w:rsidTr="0009025C">
        <w:trPr>
          <w:trHeight w:val="83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12.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numPr>
                <w:ilvl w:val="0"/>
                <w:numId w:val="6"/>
              </w:numPr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Организация и проведение муниципальных мероприятий в сфере образования,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организация и проведение единого государственного экзамена </w:t>
            </w:r>
          </w:p>
          <w:p w:rsidR="000E3C8E" w:rsidRPr="000E3C8E" w:rsidRDefault="000E3C8E" w:rsidP="000E3C8E">
            <w:pPr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9025C" w:rsidRPr="000E3C8E" w:rsidTr="0009025C">
        <w:trPr>
          <w:trHeight w:val="551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федеральных государственных образовательных стандартов общего образования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23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«Дорожной карты» подготовки к проведению государственной итоговой аттестации по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образовательными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 основного общего и среднего общего образования в Артинском городском округе в 2017/2018 учебном году». 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001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Осуществление деятельности по введению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следующим направлениям:</w:t>
            </w:r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1).Нормативно-правовое обеспечение введения и реализации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2). Методическое сопровождение</w:t>
            </w:r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3). Организация внеурочной деятельности</w:t>
            </w:r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4). Кадровое обеспечение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5). Информационное обеспечение введения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6). Материально-техническое обеспечение перехода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13.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tabs>
                <w:tab w:val="left" w:pos="4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в 2018 году плана мероприятий по устранению нарушений санитарно-эпидемиологического законодательства, требований пожарного надзора.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«Сажинская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«Поташкинская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 ограждений.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косметических ремонтов помещений школ во всех общеобразовательных учреждениях к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 к новому учебному году.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технологического оборудования пищеблоков.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оконных блоков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«Манчажская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частичная заменена окон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«Куркинская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спортзала в «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Сажинская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tabs>
                <w:tab w:val="left" w:pos="4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автобусов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организациях.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в общеобразовательных организациях учебников и учебных пособий, используемых в образовательном процессе в соответствии с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областного бюджета.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 всех учителей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3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8"/>
              </w:numPr>
              <w:tabs>
                <w:tab w:val="left" w:pos="46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учебного оборудования для ведения учебного процесса согласно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1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общеобразовательных учреждений, здания которых находятся в аварийном состоянии или требуют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ремонта, в общем количестве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муници-пальных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-тельных учреждений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0"/>
              </w:numPr>
              <w:tabs>
                <w:tab w:val="left" w:pos="3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ремонта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«Барабинская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(замена кровли и оконных блоков, капремонт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спортивного зала, замена полов в здании);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</w:tr>
      <w:tr w:rsidR="0009025C" w:rsidRPr="000E3C8E" w:rsidTr="0009025C">
        <w:trPr>
          <w:trHeight w:val="102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Замена оконных блоков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Манчажская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651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Частичная замена оконных блоков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Куркинская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проведение косметических ремонтов к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 ежегодно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84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uppressAutoHyphens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4"/>
                <w:highlight w:val="yellow"/>
                <w:lang w:eastAsia="ar-SA"/>
              </w:rPr>
            </w:pPr>
            <w:r w:rsidRPr="000E3C8E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1. Приведение спортивных объектов в общеобразовательных организациях в соответствие современным требованиям. Проведение  плановых ремонтов и реконструкция спортивных залов.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09025C" w:rsidRPr="000E3C8E" w:rsidTr="0009025C">
        <w:trPr>
          <w:trHeight w:val="558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Осуществление работы в общеобразовательных организациях спортивных секций.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59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Участие обучающихся образовательных организаций в Летнем и Зимнем Фестивалях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ВФСК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«ГТО»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82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школьных и муниципального этапов Всероссийских спортивных игр школьников «Президентские спортивные игры» и «Президентские состязания». 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5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Проведение в 2018 году капитального ремонта спортивного зала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«Сажинская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90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 в муниципальных общеобразовательных учреждениях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4"/>
              </w:numPr>
              <w:tabs>
                <w:tab w:val="left" w:pos="34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зданию школы № 1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400 мест. Включение объекта в подпрограмму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09025C" w:rsidRPr="000E3C8E" w:rsidTr="0009025C">
        <w:trPr>
          <w:trHeight w:val="232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4"/>
              </w:numPr>
              <w:tabs>
                <w:tab w:val="left" w:pos="343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зданию школы № 6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п.г.т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150 мест. Подача заявки на включение объекта в подпрограмму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81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муниципального образования на общее образование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обучающегося в муниципальных общеобразовательных учреждениях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112,90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 гарантий прав граждан на получение общего образования в муниципальных общеобразовательных организациях.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09025C" w:rsidRPr="000E3C8E" w:rsidTr="0009025C">
        <w:trPr>
          <w:trHeight w:val="137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бесплатного питания обучающихся в муниципальных общеобразовательных организациях.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84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18.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8"/>
              </w:numPr>
              <w:tabs>
                <w:tab w:val="left" w:pos="463"/>
              </w:tabs>
              <w:spacing w:after="0" w:line="240" w:lineRule="atLeast"/>
              <w:ind w:left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среднемесячной заработной платы педагогических работников организаций дополнительного образования детей к среднемесячной заработной плате в Свердловской области;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09025C" w:rsidRPr="000E3C8E" w:rsidTr="0009025C">
        <w:trPr>
          <w:trHeight w:val="77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8"/>
              </w:numPr>
              <w:tabs>
                <w:tab w:val="left" w:pos="463"/>
              </w:tabs>
              <w:spacing w:after="0" w:line="240" w:lineRule="atLeast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Увеличение доли детей и подростков, получивших услуги по организации отдыха и оздоровления в санаторно-курортных учреждениях, загородных детских оздоровительных лагерях.  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89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8"/>
              </w:numPr>
              <w:tabs>
                <w:tab w:val="left" w:pos="463"/>
              </w:tabs>
              <w:spacing w:after="0" w:line="240" w:lineRule="atLeast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качества образовательных услуг в сфере дополнительного образования детей в Артинском ГО: расширение потенциала системы дополнительного образования детей; создание условий для развития детей с высокой мотивацией к обучению и учебно-тренировочного процесса; введение эффективного контракта в системе дополнительного образования детей.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50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8"/>
              </w:numPr>
              <w:tabs>
                <w:tab w:val="left" w:pos="463"/>
              </w:tabs>
              <w:spacing w:after="0"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 образовательных организациях всероссийского проекта «Самбо в школу».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57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18"/>
              </w:numPr>
              <w:tabs>
                <w:tab w:val="left" w:pos="463"/>
              </w:tabs>
              <w:spacing w:after="0" w:line="240" w:lineRule="atLeast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Мотивация педагогов на освоение новшеств в образовательном процессе, апробацию новых методов 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приемов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обучения и воспитания детей; предоставление педагогам всесторонней и актуальной информации о современных технологиях обучения посредствам участия в мероприятиях муниципального, областного уровней (конференций, семинаров, мастер-классов); создание условий для представления и распространения педагогического опыта в области дополнительного образования различной направленности как внутри учреждения, так и на уровне района, области.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C8E" w:rsidRPr="000E3C8E" w:rsidTr="0009025C">
        <w:trPr>
          <w:trHeight w:val="315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</w:tr>
      <w:tr w:rsidR="0009025C" w:rsidRPr="000E3C8E" w:rsidTr="0009025C">
        <w:trPr>
          <w:trHeight w:val="24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19.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клубами и учреждениями клубного типа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Сохранение сети культурно – досуговых учреждений </w:t>
            </w:r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учетом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полномочий органов местного самоуправления.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2.Проведение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3.Оснащение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муниципальных учреждений культуры специальным оборудованием, музыкальным оборудованием,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инвентарем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музыкальными инструментами.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библиотеками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Сохранение библиотечной системы  с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органов местного самоуправления, а также количества населения.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2.Проведение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ремонтных работ в зданиях и помещениях, в которых размещаются муниципальные библиотеки, приведение в соответствие с требованиями норм пожарной безопасности и санитарного законодательства.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6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Оснащение муниципальных библиотек компьютерным оборудованием и обеспечение подключения к сети Интернет.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7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парками культуры и отдыха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1.Сохранение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парка культуры и отдыха.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9025C" w:rsidRPr="000E3C8E" w:rsidTr="0009025C">
        <w:trPr>
          <w:trHeight w:val="87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2.Проведение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ремонтных работ, приведение в соответствие с требованиями норм пожарной безопасности и санитарного законодательства, норм поведения на территории парка.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18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3.Оснащение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парка культуры и отдыха специальным оборудованием.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Сохранение учреждений культуры  с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полномочий органов местного самоуправления, а также количества населения.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4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21.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объектов культурного наследия, находящихся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муници-пальной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собственности и требующих консервации или реставрации, в общем количестве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объек-тов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культурного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насле-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находящихся в муниципальной собственности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Объектов культурного наследия, находящихся в муниципальной собственности в Артинском городском округе нет. </w:t>
            </w:r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Имеются объекты культурного наследия, находящиеся в частной собственности: </w:t>
            </w:r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Бывший дом управляющего заводом (ныне здание заводоуправления), середины Х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Арти, механический завод, находится на балансе ООО «Акционеры Артинского завода»,</w:t>
            </w:r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Здание главного магазина Артинского завода (ныне центральный склад), 1840 год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Арти, механический завод находится на балансе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«Артинский завод».</w:t>
            </w:r>
          </w:p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Информацию об объектах культурного наследия согласно данных единого государственного реестра РФ представляют уполномоченные лица вышеуказанных предприятий.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0E3C8E" w:rsidRPr="000E3C8E" w:rsidTr="0009025C">
        <w:trPr>
          <w:trHeight w:val="315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</w:tr>
      <w:tr w:rsidR="0009025C" w:rsidRPr="000E3C8E" w:rsidTr="0009025C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22.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Развитие материально-технической базы 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«Старт»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Строительство спортивных объектов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Проведение физкультурно-оздоровительных и спортивно-массовых  мероприятий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Содержание лыжной базы «Снежинка»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Мероприятия по поэтапному внедрению и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97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23.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Развитие материально-технической базы 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«Старт» и образовательных организаций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9025C" w:rsidRPr="000E3C8E" w:rsidTr="0009025C">
        <w:trPr>
          <w:trHeight w:val="29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Строительство спортивных объектов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9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Проведение физкультурно-оздоровительных и спортивно-массовых  мероприятий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9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Мероприятия по поэтапному внедрению и реализации Всероссийского физкультурно-спортивного комплекса "Готов к труду и обороне" (ГТО)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E3C8E" w:rsidRPr="000E3C8E" w:rsidTr="0009025C">
        <w:trPr>
          <w:trHeight w:val="315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Жилищное строительство и обеспечение граждан </w:t>
            </w:r>
            <w:proofErr w:type="spellStart"/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жильем</w:t>
            </w:r>
            <w:proofErr w:type="spellEnd"/>
          </w:p>
        </w:tc>
      </w:tr>
      <w:tr w:rsidR="0009025C" w:rsidRPr="000E3C8E" w:rsidTr="0009025C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жителя, - всего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Внесение изменений в генеральный план Артинского городского округа применительно к территории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25,80</w:t>
            </w: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проекта планировки и проекта межевания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Приобретение жилья для граждан, проживающих в Артинском городском округе и нуждающихся в улучшении жилищных условий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Улучшение жилищных условий граждан, проживающих и работающих в сельской местности, в том числе молодых семей и молодых специалистов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социальных выплат на строительство (приобретение) жилья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введенная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 за один год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Внесение изменений в генеральный план Артинского городского округа применительно к территории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проекта планировки и проекта межевания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Приобретение жилья для граждан, проживающих в Артинском городском округе и нуждающихся в улучшении жилищных условий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Улучшение жилищных условий граждан, проживающих и работающих в сельской местности, в том числе молодых семей и молодых специалистов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социальных выплат на строительство (приобретение) жилья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97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25.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земельных участков, предоставленных для строительства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 тыс. человек населения, - всего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Внесение изменений в генеральный план Артинского городского округа применительно к территории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</w:tr>
      <w:tr w:rsidR="0009025C" w:rsidRPr="000E3C8E" w:rsidTr="0009025C">
        <w:trPr>
          <w:trHeight w:val="29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проекта планировки и проекта межевания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9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3.Внесение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изменений в правила землепользования и застройки Артинского городского округа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9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аукциона на право заключения договора аренды земельного участка.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9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договора аренды земельного участка.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35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Внесение изменений в генеральный план Артинского городского округа применительно к территории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0,90</w:t>
            </w:r>
          </w:p>
        </w:tc>
      </w:tr>
      <w:tr w:rsidR="0009025C" w:rsidRPr="000E3C8E" w:rsidTr="0009025C">
        <w:trPr>
          <w:trHeight w:val="35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Разработка проекта планировки и проекта межевания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5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Внесение изменений в правила землепользования и застройки Артинского городского округа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5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Проведение аукциона на право заключения договора аренды  или договора купли-продажи земельного участка.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5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Заключение договора аренды или договора купли-продажи земельного участка.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753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26.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земельных участков,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строительства, в отношении которых с даты принятия решения о предоставлении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878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Оказание застройщикам консультативной помощи в получении разрешительной документации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87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Внесение изменений в генеральный план городского округа Артинского городского округа применительно к территории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301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Разработка проекта планировки и проекта межевания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766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Внесение изменений в правила землепользования и застройки Артинского городского округа Свердловской области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85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объектов жилищного строительства - в течение 3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025C" w:rsidRPr="000E3C8E" w:rsidTr="0009025C">
        <w:trPr>
          <w:trHeight w:val="112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иных объектов капитального строительства - в течение 5 лет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3C8E" w:rsidRPr="000E3C8E" w:rsidTr="0009025C">
        <w:trPr>
          <w:trHeight w:val="315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</w:tr>
      <w:tr w:rsidR="0009025C" w:rsidRPr="000E3C8E" w:rsidTr="0009025C">
        <w:trPr>
          <w:trHeight w:val="4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27.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многоквартирных домов, в которых собственники помещений выбрали и реализуют один из способов управления многоквартирными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домами, в общем числе многоквартирных домов, в которых собственники помещений должны выбрать способ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управле-ния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указанными домами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Проведение конкурсов по отбору управляющей организации для управления многоквартирным домом в соответствии с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5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28.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организаций коммунального комплекса,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осуществля-ющих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 товаров, оказание услуг по водо-, тепл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газо- и электроснабжению, водоотведению, очистке сточных вод, утилизации (захоронению)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бытовых отходов и использующих объекты коммунальной инфра-структуры на праве частной собственности, по договору аренды или концессии, участие городского округа в уставном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капитале которых составляет не более 25%, в общем числе организаций коммунального комплекса,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осуществля-ющих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деятельность на территории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Капитальный и текущий ремонт объектов теплоснабжения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09025C" w:rsidRPr="000E3C8E" w:rsidTr="0009025C">
        <w:trPr>
          <w:trHeight w:val="41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Капитальный и текущий ремонт объектов водоснабжения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579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Модернизация топливно-энергетических объектов Артинского городского округа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05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Проведение конкурсных процедур по договору аренды или концессии в соответствии с №115-ФЗ от 21.07.2005 г. «О концессионных соглашениях»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9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29.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многоквартирных домов, расположенных на земельных участках, в отношении которых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-венный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кадастровый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 связи с внесением изменений в налоговый кодекс с 1 января 2015 года, земельные участки под многоквартирными жилыми домами не являются объектом налогообложения для физических лиц, проведение кадастровых работ в отношении земельных участков под многоквартирными жилыми домами не планируется.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получившего жилые помещения и улучшив-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жилищные условия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 в общей численности населения, состоящего на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нуждающегося в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Приобретение жилья для граждан, проживающих в Артинском городском округе и нуждающихся в улучшении жилищных условий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Предоставляемых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договорам социального найма и договорам найма служебного жилого помещения                       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Улучшение жилищных условий граждан, проживающих и работающих в сельской местности, в том числе молодых семей и молодых специалистов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E3C8E" w:rsidRPr="000E3C8E" w:rsidTr="0009025C">
        <w:trPr>
          <w:trHeight w:val="315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Организация муниципального управления</w:t>
            </w:r>
          </w:p>
        </w:tc>
      </w:tr>
      <w:tr w:rsidR="0009025C" w:rsidRPr="000E3C8E" w:rsidTr="0009025C">
        <w:trPr>
          <w:trHeight w:val="462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31.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местного бюджета (за исключением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поступ-лений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налоговых доходов по дополни-тельным нормативам отчислений) в общем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собственных доходов бюджета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(без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финансовой самостоятельности местного бюджета</w:t>
            </w:r>
          </w:p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09025C" w:rsidRPr="000E3C8E" w:rsidTr="0009025C">
        <w:trPr>
          <w:trHeight w:val="46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2.Ежеквартальный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сравнительный анализ поступления налоговых и неналоговых доходов в бюджет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46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3.Ежегодный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оценки эффективности налоговых льгот, предоставленных Решениями Думы Артинского городского округа, снижение доли предоставленных льгот по местным налогам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462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4.Работа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ежемесячном режиме межведомственной комиссии по вопросам укрепления финансовой самостоятельности бюджета и снижения неформальной трудовой занятости в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32.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основных фондов организаций муниципальной формы собственности,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стадии банкрот-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основных фондах организаций муниципальной формы собственности (на конец года, по полной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учетной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стоимости)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финансовой устойчивости предприятий муниципальной формы собственности.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Оценка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-финансового состояния предприятий с целью выявления неиспользованных резервов, повышения эффективности деятельности предприятий.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Проведение анализа финансово-хозяйственной деятельности муниципальных предприятий по материалам бухгалтерской отчетности.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Регулярное проведение заседаний комиссии по рассмотрению финансово-хозяйственной деятельности муниципальных унитарных предприятий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35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33.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установленные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строительства, осуществляемого за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бюджета городского округа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объектов строительства в установленные сроки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025C" w:rsidRPr="000E3C8E" w:rsidTr="0009025C">
        <w:trPr>
          <w:trHeight w:val="51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34.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просроченной кредиторской задолженности по оплате труда (включая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начис-ления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труда) муниципальных учреждений в общем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муниципального образования на оплату труда (включая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начис-ления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труда)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Исполнение бюджетных обязательств, подлежащих исполнению  за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9025C" w:rsidRPr="000E3C8E" w:rsidTr="0009025C">
        <w:trPr>
          <w:trHeight w:val="278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E3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 мониторинга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просроченной кредиторской задолженности по оплате труда (включая начисления на оплату труда) муниципальных учреждений в общем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муниципального образования на оплату.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35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35.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муниципального образования на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содержа-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 органов местного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самоуправ-ления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жителя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1 776,0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Осуществление мероприятий по оптимизации расходов на содержание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главными распорядителями бюджетных средств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1 782,0</w:t>
            </w:r>
          </w:p>
        </w:tc>
      </w:tr>
      <w:tr w:rsidR="0009025C" w:rsidRPr="000E3C8E" w:rsidTr="0009025C">
        <w:trPr>
          <w:trHeight w:val="35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36.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в городском округе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генерального плана городского округа (схемы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территориаль-ного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планирования муниципального района)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1 - да/0 - 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Внесение изменений в генеральный план Артинского городского округа Свердловской области применительно к территории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населенного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25C" w:rsidRPr="000E3C8E" w:rsidTr="0009025C">
        <w:trPr>
          <w:trHeight w:val="103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37.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организацией транспортного обслуживания в муниципальном образовании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80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Осуществление регулярных перевозок по регулируемым тарифам на перевозку пассажиров и багажа автомобильным транспортом общего пользования по муниципальным маршрутам в Артинском городском округе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09025C" w:rsidRPr="000E3C8E" w:rsidTr="0009025C">
        <w:trPr>
          <w:trHeight w:val="60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Проведение социологических опросов населения по критериям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услугами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качеством автомобильных дорог в муниципальном образовании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Обустройство автомобильных дорог общего пользования местного 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Содержание дорожной сети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пунктах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Капитальный ремонт, ремонт  автомобильных дорог и мостов общего пользования местного значения Артинского городского округа Свердловской области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243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Проведение социологических опросов населения по критериям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услугами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39.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жилищно-коммунальными услугами, уровнем организации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теплоснаб-жения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(снабжения населения топливом), водоснабжения (водо-отведения),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электроснаб-жения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газоснабжения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1.Строительство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канализационной станции и реконструкция напорного коллектора в микрорайоне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ПМК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-17,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Реконструкция тепловых сетей котельной № 9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Арти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Реконструкция газовой котельной № 8 по адресу: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Арти,    ул.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40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4.Проведение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социологических опросов населения по критериям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услугами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25C" w:rsidRPr="000E3C8E" w:rsidTr="0009025C">
        <w:trPr>
          <w:trHeight w:val="18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120" w:line="274" w:lineRule="exact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Улучшение жилищных условий граждан, проживающих в сельской местности, в том числе молодых семей и молодых специалистов.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доступности дошкольного образования для детей в возрасте до 3 лет.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Повышение доступности и качества медицинской помощи населению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8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выездных семинаров по пожарной безопасности в территориальных администрациях, расположенных на территории Артинского городского округа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C8E" w:rsidRPr="000E3C8E" w:rsidTr="0009025C">
        <w:trPr>
          <w:trHeight w:val="315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09025C" w:rsidRPr="000E3C8E" w:rsidTr="0009025C">
        <w:trPr>
          <w:trHeight w:val="108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41.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Удельная величина потребления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энергети-ческих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ресурсов в многоквартирных домах: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электрическая энергия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кВт/</w:t>
            </w:r>
            <w:proofErr w:type="gramStart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1 проживающего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1 485,90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Проведение капитального ремонта внутридомовых электрических сетей многоквартирных домов (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1 485,90</w:t>
            </w: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тепловая энергия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Гкал на 1 кв. метр общей площади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0,23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Проведение капитального ремонта внутридомовых сетей теплоснабжения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0,23</w:t>
            </w: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Проведение капитального ремонта внутридомовых электрических сетей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холодная вода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на 1 проживающего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25,34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Проведение капитального ремонта внутридомовых сетей водоснабжения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25,34</w:t>
            </w:r>
          </w:p>
        </w:tc>
      </w:tr>
      <w:tr w:rsidR="0009025C" w:rsidRPr="000E3C8E" w:rsidTr="0009025C">
        <w:trPr>
          <w:trHeight w:val="442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природный газ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Куб. м. на 1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прожива-ющего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Строительство распределительных газовых сетей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Строительство распределительных газовых сетей 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пунктах Артинского городского округа.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24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Удельная величина потребления </w:t>
            </w:r>
            <w:proofErr w:type="spellStart"/>
            <w:proofErr w:type="gram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энергети-ческих</w:t>
            </w:r>
            <w:proofErr w:type="spellEnd"/>
            <w:proofErr w:type="gram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ресурсов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муници-пальными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бюджетными учреждениями: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71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электрическая энергия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кВт/</w:t>
            </w:r>
            <w:proofErr w:type="gramStart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1 проживающего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Замена светильников уличного освещения </w:t>
            </w:r>
            <w:proofErr w:type="gramStart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</w:t>
            </w:r>
            <w:proofErr w:type="gramEnd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более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энергоэффективные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освещения в бюджетных учреждениях с использованием </w:t>
            </w:r>
            <w:proofErr w:type="spellStart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0E3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источников света.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тепловая энергия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Гкал на 1 кв. метр общей площади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Реконструкция топливно-энергетических объектов Артинского городского округа.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Реконструкция тепловых сетей котельной № 9 в пгт.Арти</w:t>
            </w:r>
          </w:p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25C" w:rsidRPr="000E3C8E" w:rsidTr="0009025C">
        <w:trPr>
          <w:trHeight w:val="13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холодная вода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на 1 проживающего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Капитальный и текущий ремонт объектов водоснабжения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</w:tr>
      <w:tr w:rsidR="0009025C" w:rsidRPr="000E3C8E" w:rsidTr="0009025C">
        <w:trPr>
          <w:trHeight w:val="110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C8E" w:rsidRPr="000E3C8E" w:rsidRDefault="000E3C8E" w:rsidP="000E3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природный газ</w:t>
            </w:r>
          </w:p>
          <w:p w:rsidR="000E3C8E" w:rsidRPr="000E3C8E" w:rsidRDefault="000E3C8E" w:rsidP="000E3C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Куб. метров на 1 человека населения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 территории Артинского городского округа муниципальных бюджетных учреждений, потребляющих природный газ, 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C8E" w:rsidRPr="000E3C8E" w:rsidRDefault="000E3C8E" w:rsidP="000E3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3C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0E3C8E" w:rsidRPr="000E3C8E" w:rsidRDefault="000E3C8E" w:rsidP="000E3C8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E3C8E" w:rsidRDefault="000E3C8E" w:rsidP="00101672"/>
    <w:p w:rsidR="0009025C" w:rsidRDefault="0009025C"/>
    <w:sectPr w:rsidR="0009025C" w:rsidSect="0009025C">
      <w:pgSz w:w="15840" w:h="12240" w:orient="landscape" w:code="1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017D"/>
    <w:multiLevelType w:val="hybridMultilevel"/>
    <w:tmpl w:val="6C021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6169F"/>
    <w:multiLevelType w:val="hybridMultilevel"/>
    <w:tmpl w:val="921A5AE4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182B5FF4"/>
    <w:multiLevelType w:val="hybridMultilevel"/>
    <w:tmpl w:val="88F0EA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F53762"/>
    <w:multiLevelType w:val="hybridMultilevel"/>
    <w:tmpl w:val="EA7ADFA0"/>
    <w:lvl w:ilvl="0" w:tplc="227896C4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4F5C4D86"/>
    <w:multiLevelType w:val="hybridMultilevel"/>
    <w:tmpl w:val="CBD8B162"/>
    <w:lvl w:ilvl="0" w:tplc="7E2A9B7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B536C1"/>
    <w:multiLevelType w:val="hybridMultilevel"/>
    <w:tmpl w:val="5D4EF110"/>
    <w:lvl w:ilvl="0" w:tplc="78061816">
      <w:start w:val="3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B41B3"/>
    <w:multiLevelType w:val="hybridMultilevel"/>
    <w:tmpl w:val="C73A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51F1F"/>
    <w:multiLevelType w:val="hybridMultilevel"/>
    <w:tmpl w:val="2A0C77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FD3C39"/>
    <w:multiLevelType w:val="hybridMultilevel"/>
    <w:tmpl w:val="E17E4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1738E"/>
    <w:multiLevelType w:val="hybridMultilevel"/>
    <w:tmpl w:val="5C825562"/>
    <w:lvl w:ilvl="0" w:tplc="227896C4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5"/>
  </w:num>
  <w:num w:numId="2">
    <w:abstractNumId w:val="5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597"/>
    <w:rsid w:val="0009025C"/>
    <w:rsid w:val="000E3C8E"/>
    <w:rsid w:val="00101672"/>
    <w:rsid w:val="005B5597"/>
    <w:rsid w:val="009A0368"/>
    <w:rsid w:val="00EF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0E3C8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01672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semiHidden/>
    <w:rsid w:val="000E3C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E3C8E"/>
  </w:style>
  <w:style w:type="paragraph" w:styleId="a5">
    <w:name w:val="Normal (Web)"/>
    <w:basedOn w:val="a"/>
    <w:unhideWhenUsed/>
    <w:rsid w:val="000E3C8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Cs/>
      <w:kern w:val="2"/>
      <w:sz w:val="28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0E3C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E3C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semiHidden/>
    <w:unhideWhenUsed/>
    <w:rsid w:val="000E3C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semiHidden/>
    <w:rsid w:val="000E3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0E3C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0E3C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semiHidden/>
    <w:unhideWhenUsed/>
    <w:rsid w:val="000E3C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E3C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E3C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3C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E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3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0E3C8E"/>
    <w:pPr>
      <w:spacing w:after="0" w:line="240" w:lineRule="auto"/>
      <w:ind w:left="708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E3C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8pt1">
    <w:name w:val="Основной текст + 8 pt1"/>
    <w:uiPriority w:val="99"/>
    <w:rsid w:val="000E3C8E"/>
    <w:rPr>
      <w:rFonts w:ascii="Times New Roman" w:hAnsi="Times New Roman" w:cs="Times New Roman" w:hint="default"/>
      <w:strike w:val="0"/>
      <w:dstrike w:val="0"/>
      <w:sz w:val="16"/>
      <w:szCs w:val="16"/>
      <w:u w:val="none"/>
      <w:effect w:val="none"/>
      <w:shd w:val="clear" w:color="auto" w:fill="FFFFFF"/>
    </w:rPr>
  </w:style>
  <w:style w:type="character" w:customStyle="1" w:styleId="11">
    <w:name w:val="Основной шрифт абзаца1"/>
    <w:rsid w:val="000E3C8E"/>
  </w:style>
  <w:style w:type="table" w:styleId="ad">
    <w:name w:val="Table Grid"/>
    <w:basedOn w:val="a1"/>
    <w:rsid w:val="000E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0E3C8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0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101672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semiHidden/>
    <w:rsid w:val="000E3C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E3C8E"/>
  </w:style>
  <w:style w:type="paragraph" w:styleId="a5">
    <w:name w:val="Normal (Web)"/>
    <w:basedOn w:val="a"/>
    <w:unhideWhenUsed/>
    <w:rsid w:val="000E3C8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bCs/>
      <w:kern w:val="2"/>
      <w:sz w:val="28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0E3C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E3C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semiHidden/>
    <w:unhideWhenUsed/>
    <w:rsid w:val="000E3C8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semiHidden/>
    <w:rsid w:val="000E3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0E3C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0E3C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semiHidden/>
    <w:unhideWhenUsed/>
    <w:rsid w:val="000E3C8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0E3C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0E3C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3C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E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3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0E3C8E"/>
    <w:pPr>
      <w:spacing w:after="0" w:line="240" w:lineRule="auto"/>
      <w:ind w:left="708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0E3C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8pt1">
    <w:name w:val="Основной текст + 8 pt1"/>
    <w:uiPriority w:val="99"/>
    <w:rsid w:val="000E3C8E"/>
    <w:rPr>
      <w:rFonts w:ascii="Times New Roman" w:hAnsi="Times New Roman" w:cs="Times New Roman" w:hint="default"/>
      <w:strike w:val="0"/>
      <w:dstrike w:val="0"/>
      <w:sz w:val="16"/>
      <w:szCs w:val="16"/>
      <w:u w:val="none"/>
      <w:effect w:val="none"/>
      <w:shd w:val="clear" w:color="auto" w:fill="FFFFFF"/>
    </w:rPr>
  </w:style>
  <w:style w:type="character" w:customStyle="1" w:styleId="11">
    <w:name w:val="Основной шрифт абзаца1"/>
    <w:rsid w:val="000E3C8E"/>
  </w:style>
  <w:style w:type="table" w:styleId="ad">
    <w:name w:val="Table Grid"/>
    <w:basedOn w:val="a1"/>
    <w:rsid w:val="000E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9E0DA-917B-4CA3-88AA-F0E603C8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5464</Words>
  <Characters>31146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ApГO</Company>
  <LinksUpToDate>false</LinksUpToDate>
  <CharactersWithSpaces>36537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ЕКО2</dc:creator>
  <cp:keywords/>
  <dc:description/>
  <cp:lastModifiedBy>ЕКО2</cp:lastModifiedBy>
  <cp:revision>4</cp:revision>
  <dcterms:created xsi:type="dcterms:W3CDTF">2018-06-09T03:38:00Z</dcterms:created>
  <dcterms:modified xsi:type="dcterms:W3CDTF">2018-06-09T03:53:00Z</dcterms:modified>
</cp:coreProperties>
</file>